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753C" w14:textId="77777777" w:rsidR="00AB4D74" w:rsidRDefault="00AB4D74" w:rsidP="00AB4D74">
      <w:pPr>
        <w:pBdr>
          <w:bottom w:val="single" w:sz="6" w:space="1" w:color="000000"/>
        </w:pBdr>
        <w:spacing w:after="160" w:line="259" w:lineRule="auto"/>
        <w:jc w:val="center"/>
        <w:rPr>
          <w:rFonts w:ascii="Arial" w:eastAsia="Arial" w:hAnsi="Arial" w:cs="Arial"/>
          <w:b/>
          <w:sz w:val="56"/>
          <w:szCs w:val="56"/>
        </w:rPr>
      </w:pPr>
      <w:r w:rsidRPr="00AB4D74">
        <w:rPr>
          <w:rFonts w:ascii="Arial" w:eastAsia="Arial" w:hAnsi="Arial" w:cs="Arial"/>
          <w:b/>
          <w:sz w:val="56"/>
          <w:szCs w:val="56"/>
        </w:rPr>
        <w:t>Implementation of the Free Nutritious Meal Program in Schools: An Educational Management Perspective</w:t>
      </w:r>
    </w:p>
    <w:p w14:paraId="24CAD992" w14:textId="2DC7B9EB" w:rsidR="00CF5DDE" w:rsidRDefault="00AB4D74" w:rsidP="00AB4D74">
      <w:pPr>
        <w:pBdr>
          <w:bottom w:val="single" w:sz="6" w:space="1" w:color="000000"/>
        </w:pBdr>
        <w:spacing w:after="160" w:line="259" w:lineRule="auto"/>
        <w:jc w:val="center"/>
        <w:rPr>
          <w:rFonts w:asciiTheme="majorBidi" w:eastAsia="Arial" w:hAnsiTheme="majorBidi" w:cstheme="majorBidi"/>
          <w:sz w:val="28"/>
          <w:szCs w:val="28"/>
        </w:rPr>
      </w:pPr>
      <w:r w:rsidRPr="003B18C3">
        <w:rPr>
          <w:rFonts w:asciiTheme="majorBidi" w:eastAsia="Arial" w:hAnsiTheme="majorBidi" w:cstheme="majorBidi"/>
          <w:sz w:val="28"/>
          <w:szCs w:val="28"/>
        </w:rPr>
        <w:t>Ade Wahyuni Azhar</w:t>
      </w:r>
      <w:r w:rsidR="009C3C3B" w:rsidRPr="003B18C3">
        <w:rPr>
          <w:rFonts w:asciiTheme="majorBidi" w:eastAsia="Arial" w:hAnsiTheme="majorBidi" w:cstheme="majorBidi"/>
          <w:sz w:val="28"/>
          <w:szCs w:val="28"/>
          <w:vertAlign w:val="superscript"/>
        </w:rPr>
        <w:t>1)</w:t>
      </w:r>
      <w:r w:rsidRPr="003B18C3">
        <w:rPr>
          <w:rFonts w:asciiTheme="majorBidi" w:eastAsia="Arial" w:hAnsiTheme="majorBidi" w:cstheme="majorBidi"/>
          <w:sz w:val="28"/>
          <w:szCs w:val="28"/>
        </w:rPr>
        <w:t xml:space="preserve">, </w:t>
      </w:r>
      <w:r w:rsidR="00CF5DDE" w:rsidRPr="003B18C3">
        <w:rPr>
          <w:rFonts w:asciiTheme="majorBidi" w:eastAsia="Arial" w:hAnsiTheme="majorBidi" w:cstheme="majorBidi"/>
          <w:sz w:val="28"/>
          <w:szCs w:val="28"/>
        </w:rPr>
        <w:t>Fitry Wahyuni</w:t>
      </w:r>
      <w:r w:rsidR="009C3C3B" w:rsidRPr="003B18C3">
        <w:rPr>
          <w:rFonts w:asciiTheme="majorBidi" w:eastAsia="Arial" w:hAnsiTheme="majorBidi" w:cstheme="majorBidi"/>
          <w:sz w:val="28"/>
          <w:szCs w:val="28"/>
          <w:vertAlign w:val="superscript"/>
        </w:rPr>
        <w:t>2</w:t>
      </w:r>
      <w:r w:rsidR="009C3C3B" w:rsidRPr="003B18C3">
        <w:rPr>
          <w:rFonts w:asciiTheme="majorBidi" w:eastAsia="Arial" w:hAnsiTheme="majorBidi" w:cstheme="majorBidi"/>
          <w:sz w:val="28"/>
          <w:szCs w:val="28"/>
          <w:vertAlign w:val="superscript"/>
        </w:rPr>
        <w:t>)</w:t>
      </w:r>
      <w:r w:rsidR="00CF5DDE" w:rsidRPr="003B18C3">
        <w:rPr>
          <w:rFonts w:asciiTheme="majorBidi" w:eastAsia="Arial" w:hAnsiTheme="majorBidi" w:cstheme="majorBidi"/>
          <w:sz w:val="28"/>
          <w:szCs w:val="28"/>
        </w:rPr>
        <w:t>,</w:t>
      </w:r>
      <w:r w:rsidR="003B18C3">
        <w:rPr>
          <w:rFonts w:asciiTheme="majorBidi" w:eastAsia="Arial" w:hAnsiTheme="majorBidi" w:cstheme="majorBidi"/>
          <w:sz w:val="28"/>
          <w:szCs w:val="28"/>
        </w:rPr>
        <w:t xml:space="preserve"> </w:t>
      </w:r>
      <w:r w:rsidR="00CF5DDE" w:rsidRPr="003B18C3">
        <w:rPr>
          <w:rFonts w:asciiTheme="majorBidi" w:eastAsia="Arial" w:hAnsiTheme="majorBidi" w:cstheme="majorBidi"/>
          <w:sz w:val="28"/>
          <w:szCs w:val="28"/>
        </w:rPr>
        <w:t>Hajatina</w:t>
      </w:r>
      <w:r w:rsidR="009C3C3B" w:rsidRPr="003B18C3">
        <w:rPr>
          <w:rFonts w:asciiTheme="majorBidi" w:eastAsia="Arial" w:hAnsiTheme="majorBidi" w:cstheme="majorBidi"/>
          <w:sz w:val="28"/>
          <w:szCs w:val="28"/>
          <w:vertAlign w:val="superscript"/>
        </w:rPr>
        <w:t>3</w:t>
      </w:r>
      <w:r w:rsidR="009C3C3B" w:rsidRPr="003B18C3">
        <w:rPr>
          <w:rFonts w:asciiTheme="majorBidi" w:eastAsia="Arial" w:hAnsiTheme="majorBidi" w:cstheme="majorBidi"/>
          <w:sz w:val="28"/>
          <w:szCs w:val="28"/>
          <w:vertAlign w:val="superscript"/>
        </w:rPr>
        <w:t>)</w:t>
      </w:r>
      <w:r w:rsidR="009C3C3B" w:rsidRPr="003B18C3">
        <w:rPr>
          <w:rFonts w:asciiTheme="majorBidi" w:eastAsia="Arial" w:hAnsiTheme="majorBidi" w:cstheme="majorBidi"/>
          <w:sz w:val="28"/>
          <w:szCs w:val="28"/>
        </w:rPr>
        <w:t>, Ali Umar</w:t>
      </w:r>
      <w:r w:rsidR="003B18C3" w:rsidRPr="003B18C3">
        <w:rPr>
          <w:rFonts w:asciiTheme="majorBidi" w:eastAsia="Arial" w:hAnsiTheme="majorBidi" w:cstheme="majorBidi"/>
          <w:sz w:val="28"/>
          <w:szCs w:val="28"/>
          <w:vertAlign w:val="superscript"/>
        </w:rPr>
        <w:t>4</w:t>
      </w:r>
      <w:r w:rsidR="003B18C3" w:rsidRPr="003B18C3">
        <w:rPr>
          <w:rFonts w:asciiTheme="majorBidi" w:eastAsia="Arial" w:hAnsiTheme="majorBidi" w:cstheme="majorBidi"/>
          <w:sz w:val="28"/>
          <w:szCs w:val="28"/>
          <w:vertAlign w:val="superscript"/>
        </w:rPr>
        <w:t>)</w:t>
      </w:r>
      <w:r w:rsidR="009C3C3B" w:rsidRPr="003B18C3">
        <w:rPr>
          <w:rFonts w:asciiTheme="majorBidi" w:eastAsia="Arial" w:hAnsiTheme="majorBidi" w:cstheme="majorBidi"/>
          <w:sz w:val="28"/>
          <w:szCs w:val="28"/>
        </w:rPr>
        <w:t>, Melvi Fitri</w:t>
      </w:r>
      <w:r w:rsidR="003B18C3" w:rsidRPr="003B18C3">
        <w:rPr>
          <w:rFonts w:asciiTheme="majorBidi" w:eastAsia="Arial" w:hAnsiTheme="majorBidi" w:cstheme="majorBidi"/>
          <w:sz w:val="28"/>
          <w:szCs w:val="28"/>
          <w:vertAlign w:val="superscript"/>
        </w:rPr>
        <w:t>5</w:t>
      </w:r>
      <w:r w:rsidR="003B18C3" w:rsidRPr="003B18C3">
        <w:rPr>
          <w:rFonts w:asciiTheme="majorBidi" w:eastAsia="Arial" w:hAnsiTheme="majorBidi" w:cstheme="majorBidi"/>
          <w:sz w:val="28"/>
          <w:szCs w:val="28"/>
          <w:vertAlign w:val="superscript"/>
        </w:rPr>
        <w:t>)</w:t>
      </w:r>
      <w:r w:rsidR="0037770F">
        <w:rPr>
          <w:rFonts w:asciiTheme="majorBidi" w:eastAsia="Arial" w:hAnsiTheme="majorBidi" w:cstheme="majorBidi"/>
          <w:sz w:val="28"/>
          <w:szCs w:val="28"/>
        </w:rPr>
        <w:t>, Ifkar</w:t>
      </w:r>
      <w:r w:rsidR="0037770F">
        <w:rPr>
          <w:rFonts w:asciiTheme="majorBidi" w:eastAsia="Arial" w:hAnsiTheme="majorBidi" w:cstheme="majorBidi"/>
          <w:sz w:val="28"/>
          <w:szCs w:val="28"/>
          <w:vertAlign w:val="superscript"/>
        </w:rPr>
        <w:t>6</w:t>
      </w:r>
      <w:r w:rsidR="0037770F" w:rsidRPr="003B18C3">
        <w:rPr>
          <w:rFonts w:asciiTheme="majorBidi" w:eastAsia="Arial" w:hAnsiTheme="majorBidi" w:cstheme="majorBidi"/>
          <w:sz w:val="28"/>
          <w:szCs w:val="28"/>
          <w:vertAlign w:val="superscript"/>
        </w:rPr>
        <w:t>)</w:t>
      </w:r>
      <w:r w:rsidR="0037770F">
        <w:rPr>
          <w:rFonts w:asciiTheme="majorBidi" w:eastAsia="Arial" w:hAnsiTheme="majorBidi" w:cstheme="majorBidi"/>
          <w:sz w:val="28"/>
          <w:szCs w:val="28"/>
        </w:rPr>
        <w:t>.</w:t>
      </w:r>
    </w:p>
    <w:p w14:paraId="61F77B93" w14:textId="1370C836" w:rsidR="001B4B74" w:rsidRPr="003B18C3" w:rsidRDefault="001B4B74" w:rsidP="00AB4D74">
      <w:pPr>
        <w:pBdr>
          <w:bottom w:val="single" w:sz="6" w:space="1" w:color="000000"/>
        </w:pBdr>
        <w:spacing w:after="160" w:line="259" w:lineRule="auto"/>
        <w:jc w:val="center"/>
        <w:rPr>
          <w:rFonts w:asciiTheme="majorBidi" w:eastAsia="Arial" w:hAnsiTheme="majorBidi" w:cstheme="majorBidi"/>
          <w:sz w:val="28"/>
          <w:szCs w:val="28"/>
        </w:rPr>
      </w:pPr>
      <w:r>
        <w:rPr>
          <w:rFonts w:asciiTheme="majorBidi" w:eastAsia="Arial" w:hAnsiTheme="majorBidi" w:cstheme="majorBidi"/>
          <w:sz w:val="28"/>
          <w:szCs w:val="28"/>
        </w:rPr>
        <w:t xml:space="preserve">Affiliasi: Akademi </w:t>
      </w:r>
      <w:r w:rsidR="0037770F">
        <w:rPr>
          <w:rFonts w:asciiTheme="majorBidi" w:eastAsia="Arial" w:hAnsiTheme="majorBidi" w:cstheme="majorBidi"/>
          <w:sz w:val="28"/>
          <w:szCs w:val="28"/>
        </w:rPr>
        <w:t xml:space="preserve">Perniagaan </w:t>
      </w:r>
      <w:r>
        <w:rPr>
          <w:rFonts w:asciiTheme="majorBidi" w:eastAsia="Arial" w:hAnsiTheme="majorBidi" w:cstheme="majorBidi"/>
          <w:sz w:val="28"/>
          <w:szCs w:val="28"/>
        </w:rPr>
        <w:t xml:space="preserve">dan </w:t>
      </w:r>
      <w:r w:rsidR="0037770F">
        <w:rPr>
          <w:rFonts w:asciiTheme="majorBidi" w:eastAsia="Arial" w:hAnsiTheme="majorBidi" w:cstheme="majorBidi"/>
          <w:sz w:val="28"/>
          <w:szCs w:val="28"/>
        </w:rPr>
        <w:t>Perusahaan</w:t>
      </w:r>
      <w:r w:rsidR="0037770F">
        <w:rPr>
          <w:rFonts w:asciiTheme="majorBidi" w:eastAsia="Arial" w:hAnsiTheme="majorBidi" w:cstheme="majorBidi"/>
          <w:sz w:val="28"/>
          <w:szCs w:val="28"/>
        </w:rPr>
        <w:t xml:space="preserve"> </w:t>
      </w:r>
      <w:r>
        <w:rPr>
          <w:rFonts w:asciiTheme="majorBidi" w:eastAsia="Arial" w:hAnsiTheme="majorBidi" w:cstheme="majorBidi"/>
          <w:sz w:val="28"/>
          <w:szCs w:val="28"/>
        </w:rPr>
        <w:t>APIPSU Medan</w:t>
      </w:r>
    </w:p>
    <w:p w14:paraId="00000005" w14:textId="667F1551" w:rsidR="002E6832" w:rsidRPr="003B18C3" w:rsidRDefault="00AB4D74" w:rsidP="00AB4D74">
      <w:pPr>
        <w:pBdr>
          <w:bottom w:val="single" w:sz="6" w:space="1" w:color="000000"/>
        </w:pBdr>
        <w:spacing w:after="160" w:line="259" w:lineRule="auto"/>
        <w:jc w:val="center"/>
        <w:rPr>
          <w:rFonts w:asciiTheme="majorBidi" w:eastAsia="Arial" w:hAnsiTheme="majorBidi" w:cstheme="majorBidi"/>
          <w:sz w:val="28"/>
          <w:szCs w:val="28"/>
        </w:rPr>
      </w:pPr>
      <w:r w:rsidRPr="003B18C3">
        <w:rPr>
          <w:rFonts w:asciiTheme="majorBidi" w:eastAsia="Arial" w:hAnsiTheme="majorBidi" w:cstheme="majorBidi"/>
          <w:sz w:val="28"/>
          <w:szCs w:val="28"/>
        </w:rPr>
        <w:t xml:space="preserve">  adewahyuniazhar@gmail.com </w:t>
      </w:r>
    </w:p>
    <w:p w14:paraId="46FFD594" w14:textId="5B82D3B4" w:rsidR="00AB4D74" w:rsidRPr="00E75162" w:rsidRDefault="00AB4D74" w:rsidP="00E75162">
      <w:pPr>
        <w:pStyle w:val="NoSpacing"/>
        <w:jc w:val="both"/>
        <w:rPr>
          <w:rFonts w:asciiTheme="majorBidi" w:eastAsia="Arial" w:hAnsiTheme="majorBidi" w:cstheme="majorBidi"/>
          <w:b/>
          <w:bCs/>
          <w:sz w:val="28"/>
          <w:szCs w:val="28"/>
        </w:rPr>
      </w:pPr>
      <w:r w:rsidRPr="00E75162">
        <w:rPr>
          <w:rFonts w:asciiTheme="majorBidi" w:eastAsia="Arial" w:hAnsiTheme="majorBidi" w:cstheme="majorBidi"/>
          <w:b/>
          <w:bCs/>
          <w:sz w:val="28"/>
          <w:szCs w:val="28"/>
        </w:rPr>
        <w:t>Abstract</w:t>
      </w:r>
    </w:p>
    <w:p w14:paraId="114C44FD" w14:textId="77777777" w:rsidR="00AB4D74" w:rsidRPr="00E75162" w:rsidRDefault="00AB4D74" w:rsidP="00E75162">
      <w:pPr>
        <w:pStyle w:val="NoSpacing"/>
        <w:jc w:val="both"/>
        <w:rPr>
          <w:rFonts w:asciiTheme="majorBidi" w:eastAsia="Arial" w:hAnsiTheme="majorBidi" w:cstheme="majorBidi"/>
          <w:sz w:val="24"/>
          <w:szCs w:val="24"/>
          <w:lang w:val="en-ID"/>
        </w:rPr>
      </w:pPr>
      <w:r w:rsidRPr="00E75162">
        <w:rPr>
          <w:rFonts w:asciiTheme="majorBidi" w:eastAsia="Arial" w:hAnsiTheme="majorBidi" w:cstheme="majorBidi"/>
          <w:sz w:val="24"/>
          <w:szCs w:val="24"/>
          <w:lang w:val="en-ID"/>
        </w:rPr>
        <w:t>The Free Nutritious Meal Program (MBG) is a strategic government policy aimed at improving the quality of students’ health and education through balanced nutritional intake. This study discusses the implementation of MBG in schools from the perspective of educational management, highlighting the four key management functions: planning, organizing, implementation, and supervision. The findings indicate that schools play a central role as both beneficiaries and implementers, ensuring that nutritious food is distributed effectively and according to standards. However, in practice, the program faces several challenges, including limited infrastructure, insufficient human resource readiness, disruption to learning time, and weak coordination between kitchen managers and schools. Nevertheless, MBG remains strategically significant in supporting educational sustainability and fostering healthy character formation among students. Strengthening cross-sectoral governance, enhancing school managerial capacity, and developing a transparent and integrated monitoring system are crucial for ensuring the program’s effectiveness, efficiency, and sustainability.</w:t>
      </w:r>
    </w:p>
    <w:p w14:paraId="0AD88706" w14:textId="77777777" w:rsidR="00E75162" w:rsidRPr="00E75162" w:rsidRDefault="00AB4D74" w:rsidP="00E75162">
      <w:pPr>
        <w:pStyle w:val="NoSpacing"/>
        <w:rPr>
          <w:rFonts w:asciiTheme="majorBidi" w:eastAsia="Arial" w:hAnsiTheme="majorBidi" w:cstheme="majorBidi"/>
          <w:sz w:val="24"/>
          <w:szCs w:val="24"/>
        </w:rPr>
      </w:pPr>
      <w:r w:rsidRPr="00E75162">
        <w:rPr>
          <w:rFonts w:asciiTheme="majorBidi" w:hAnsiTheme="majorBidi" w:cstheme="majorBidi"/>
          <w:b/>
          <w:bCs/>
          <w:sz w:val="24"/>
          <w:szCs w:val="24"/>
        </w:rPr>
        <w:t>Keywords:</w:t>
      </w:r>
      <w:r w:rsidRPr="00E75162">
        <w:rPr>
          <w:rFonts w:asciiTheme="majorBidi" w:hAnsiTheme="majorBidi" w:cstheme="majorBidi"/>
          <w:sz w:val="24"/>
          <w:szCs w:val="24"/>
        </w:rPr>
        <w:t xml:space="preserve"> Free Nutritious Meal, educational management, school, child nutrition, education </w:t>
      </w:r>
      <w:r w:rsidR="00E75162" w:rsidRPr="00E75162">
        <w:rPr>
          <w:rFonts w:asciiTheme="majorBidi" w:eastAsia="Arial" w:hAnsiTheme="majorBidi" w:cstheme="majorBidi"/>
          <w:sz w:val="24"/>
          <w:szCs w:val="24"/>
        </w:rPr>
        <w:t xml:space="preserve">   </w:t>
      </w:r>
    </w:p>
    <w:p w14:paraId="35FF494B" w14:textId="39C4EBFA" w:rsidR="00AB4D74" w:rsidRPr="00E75162" w:rsidRDefault="00E75162" w:rsidP="00E75162">
      <w:pPr>
        <w:pStyle w:val="NoSpacing"/>
        <w:rPr>
          <w:rFonts w:asciiTheme="majorBidi" w:hAnsiTheme="majorBidi" w:cstheme="majorBidi"/>
          <w:sz w:val="24"/>
          <w:szCs w:val="24"/>
        </w:rPr>
      </w:pPr>
      <w:r w:rsidRPr="00E75162">
        <w:rPr>
          <w:rFonts w:asciiTheme="majorBidi" w:eastAsia="Arial" w:hAnsiTheme="majorBidi" w:cstheme="majorBidi"/>
          <w:sz w:val="24"/>
          <w:szCs w:val="24"/>
        </w:rPr>
        <w:t xml:space="preserve">                    </w:t>
      </w:r>
      <w:r w:rsidR="00AB4D74" w:rsidRPr="00E75162">
        <w:rPr>
          <w:rFonts w:asciiTheme="majorBidi" w:hAnsiTheme="majorBidi" w:cstheme="majorBidi"/>
          <w:sz w:val="24"/>
          <w:szCs w:val="24"/>
        </w:rPr>
        <w:t>policy</w:t>
      </w:r>
    </w:p>
    <w:p w14:paraId="3E5DFB1B" w14:textId="77777777" w:rsidR="00AB4D74" w:rsidRDefault="00AB4D74" w:rsidP="00985F43">
      <w:pPr>
        <w:pBdr>
          <w:top w:val="nil"/>
          <w:left w:val="nil"/>
          <w:bottom w:val="nil"/>
          <w:right w:val="nil"/>
          <w:between w:val="nil"/>
        </w:pBdr>
        <w:spacing w:after="0"/>
        <w:jc w:val="both"/>
        <w:rPr>
          <w:rFonts w:ascii="Arial" w:eastAsia="Arial" w:hAnsi="Arial" w:cs="Arial"/>
          <w:color w:val="000000"/>
          <w:sz w:val="28"/>
          <w:szCs w:val="28"/>
        </w:rPr>
      </w:pPr>
    </w:p>
    <w:p w14:paraId="00000006" w14:textId="29BE2AC8" w:rsidR="002E6832" w:rsidRPr="00985F43" w:rsidRDefault="00985F43" w:rsidP="004651AC">
      <w:pPr>
        <w:pStyle w:val="NoSpacing"/>
        <w:spacing w:line="360" w:lineRule="auto"/>
        <w:jc w:val="both"/>
        <w:rPr>
          <w:rFonts w:asciiTheme="minorBidi" w:eastAsia="Arial" w:hAnsiTheme="minorBidi" w:cstheme="minorBidi"/>
          <w:b/>
          <w:bCs/>
          <w:sz w:val="28"/>
          <w:szCs w:val="28"/>
        </w:rPr>
      </w:pPr>
      <w:bookmarkStart w:id="0" w:name="_Hlk213629339"/>
      <w:r w:rsidRPr="00985F43">
        <w:rPr>
          <w:rFonts w:asciiTheme="minorBidi" w:eastAsia="Arial" w:hAnsiTheme="minorBidi" w:cstheme="minorBidi"/>
          <w:b/>
          <w:bCs/>
          <w:sz w:val="28"/>
          <w:szCs w:val="28"/>
        </w:rPr>
        <w:t>1. Introduction</w:t>
      </w:r>
    </w:p>
    <w:p w14:paraId="6AA04F97" w14:textId="2D419AE9" w:rsidR="00985F43" w:rsidRPr="00985F43" w:rsidRDefault="00985F43" w:rsidP="004651AC">
      <w:pPr>
        <w:pStyle w:val="NoSpacing"/>
        <w:spacing w:line="360" w:lineRule="auto"/>
        <w:ind w:firstLine="720"/>
        <w:jc w:val="both"/>
        <w:rPr>
          <w:rFonts w:asciiTheme="minorBidi" w:hAnsiTheme="minorBidi" w:cstheme="minorBidi"/>
          <w:sz w:val="24"/>
          <w:szCs w:val="24"/>
        </w:rPr>
      </w:pPr>
      <w:r w:rsidRPr="00985F43">
        <w:rPr>
          <w:rFonts w:asciiTheme="minorBidi" w:hAnsiTheme="minorBidi" w:cstheme="minorBidi"/>
          <w:sz w:val="24"/>
          <w:szCs w:val="24"/>
        </w:rPr>
        <w:t xml:space="preserve">The </w:t>
      </w:r>
      <w:r w:rsidRPr="00985F43">
        <w:rPr>
          <w:rStyle w:val="Strong"/>
          <w:rFonts w:asciiTheme="minorBidi" w:hAnsiTheme="minorBidi" w:cstheme="minorBidi"/>
          <w:sz w:val="24"/>
          <w:szCs w:val="24"/>
        </w:rPr>
        <w:t>Free Nutritious Meal (MBG)</w:t>
      </w:r>
      <w:r w:rsidRPr="00985F43">
        <w:rPr>
          <w:rFonts w:asciiTheme="minorBidi" w:hAnsiTheme="minorBidi" w:cstheme="minorBidi"/>
          <w:sz w:val="24"/>
          <w:szCs w:val="24"/>
        </w:rPr>
        <w:t xml:space="preserve"> program is a strategic government initiative designed to improve children’s health and ensure the continuity of education (Andin et al., 2025). This program is not merely about providing food but also about creating a healthy, intelligent, and productive generation. By ensuring that students receive balanced nutrition daily, MBG contributes to better concentration, stamina, and academic achievement. Healthy students are more active and focused in the learning process, thereby improving overall educational quality</w:t>
      </w:r>
      <w:r w:rsidR="004651AC">
        <w:rPr>
          <w:rFonts w:asciiTheme="minorBidi" w:hAnsiTheme="minorBidi" w:cstheme="minorBidi"/>
          <w:sz w:val="24"/>
          <w:szCs w:val="24"/>
        </w:rPr>
        <w:t xml:space="preserve"> </w:t>
      </w:r>
      <w:r w:rsidR="0049220D">
        <w:rPr>
          <w:rFonts w:asciiTheme="minorBidi" w:hAnsiTheme="minorBidi" w:cstheme="minorBidi"/>
          <w:sz w:val="24"/>
          <w:szCs w:val="24"/>
        </w:rPr>
        <w:t>(Qomarullah et al., 2025)</w:t>
      </w:r>
    </w:p>
    <w:p w14:paraId="54FA37AB" w14:textId="77777777" w:rsidR="00FD54D0" w:rsidRPr="00FD54D0" w:rsidRDefault="00985F43" w:rsidP="004651AC">
      <w:pPr>
        <w:pStyle w:val="NoSpacing"/>
        <w:spacing w:line="360" w:lineRule="auto"/>
        <w:ind w:firstLine="720"/>
        <w:jc w:val="both"/>
        <w:rPr>
          <w:rFonts w:asciiTheme="minorBidi" w:hAnsiTheme="minorBidi" w:cstheme="minorBidi"/>
          <w:lang w:val="en-ID"/>
        </w:rPr>
      </w:pPr>
      <w:r w:rsidRPr="00985F43">
        <w:rPr>
          <w:rFonts w:asciiTheme="minorBidi" w:hAnsiTheme="minorBidi" w:cstheme="minorBidi"/>
          <w:sz w:val="24"/>
          <w:szCs w:val="24"/>
        </w:rPr>
        <w:lastRenderedPageBreak/>
        <w:t xml:space="preserve">The MBG program is regulated under </w:t>
      </w:r>
      <w:r w:rsidRPr="00985F43">
        <w:rPr>
          <w:rStyle w:val="Strong"/>
          <w:rFonts w:asciiTheme="minorBidi" w:hAnsiTheme="minorBidi" w:cstheme="minorBidi"/>
          <w:sz w:val="24"/>
          <w:szCs w:val="24"/>
        </w:rPr>
        <w:t>Presidential Regulation No. 83 of 2024</w:t>
      </w:r>
      <w:r w:rsidRPr="00985F43">
        <w:rPr>
          <w:rFonts w:asciiTheme="minorBidi" w:hAnsiTheme="minorBidi" w:cstheme="minorBidi"/>
          <w:sz w:val="24"/>
          <w:szCs w:val="24"/>
        </w:rPr>
        <w:t xml:space="preserve"> concerning the </w:t>
      </w:r>
      <w:r w:rsidRPr="00985F43">
        <w:rPr>
          <w:rStyle w:val="Strong"/>
          <w:rFonts w:asciiTheme="minorBidi" w:hAnsiTheme="minorBidi" w:cstheme="minorBidi"/>
          <w:sz w:val="24"/>
          <w:szCs w:val="24"/>
        </w:rPr>
        <w:t>National Nutrition Agency (BGN)</w:t>
      </w:r>
      <w:r>
        <w:rPr>
          <w:rFonts w:asciiTheme="minorBidi" w:hAnsiTheme="minorBidi" w:cstheme="minorBidi"/>
          <w:sz w:val="24"/>
          <w:szCs w:val="24"/>
        </w:rPr>
        <w:t xml:space="preserve"> </w:t>
      </w:r>
      <w:r w:rsidRPr="00985F43">
        <w:rPr>
          <w:rFonts w:asciiTheme="minorBidi" w:hAnsiTheme="minorBidi" w:cstheme="minorBidi"/>
          <w:sz w:val="24"/>
          <w:szCs w:val="24"/>
        </w:rPr>
        <w:t xml:space="preserve">a government institution established by the President to implement national nutrition fulfillment policies (Indonesia, 2024). Article 5, Paragraph 1, of this regulation specifies that the BGN is responsible for ensuring adequate nutrition for specific groups, including students across educational levels (from early childhood to vocational, religious, and special schools), preschool-aged children, pregnant women, and breastfeeding mothers. This regulation demonstrates the government’s commitment to positioning nutrition as a </w:t>
      </w:r>
      <w:r w:rsidRPr="00985F43">
        <w:rPr>
          <w:rStyle w:val="Strong"/>
          <w:rFonts w:asciiTheme="minorBidi" w:hAnsiTheme="minorBidi" w:cstheme="minorBidi"/>
          <w:sz w:val="24"/>
          <w:szCs w:val="24"/>
        </w:rPr>
        <w:t>national development priority</w:t>
      </w:r>
      <w:r w:rsidRPr="00985F43">
        <w:rPr>
          <w:rFonts w:asciiTheme="minorBidi" w:hAnsiTheme="minorBidi" w:cstheme="minorBidi"/>
          <w:sz w:val="24"/>
          <w:szCs w:val="24"/>
        </w:rPr>
        <w:t xml:space="preserve"> to improve human resource quality from an early to reproductive age.</w:t>
      </w:r>
      <w:r w:rsidR="00FD54D0">
        <w:rPr>
          <w:rFonts w:asciiTheme="minorBidi" w:hAnsiTheme="minorBidi" w:cstheme="minorBidi"/>
          <w:sz w:val="24"/>
          <w:szCs w:val="24"/>
        </w:rPr>
        <w:t xml:space="preserve"> </w:t>
      </w:r>
      <w:r w:rsidR="00FD54D0" w:rsidRPr="00FD54D0">
        <w:rPr>
          <w:rFonts w:asciiTheme="minorBidi" w:hAnsiTheme="minorBidi" w:cstheme="minorBidi"/>
          <w:sz w:val="24"/>
          <w:szCs w:val="24"/>
          <w:lang w:val="en-ID"/>
        </w:rPr>
        <w:t>Through the BGN, the government seeks to coordinate and implement nutrition programs in an integrated manner to ensure that every individual, especially the younger generation, receives adequate, balanced, and sustainable nutrition to support growth, intelligence, and national productivity.</w:t>
      </w:r>
    </w:p>
    <w:p w14:paraId="44FFA76D" w14:textId="3178B164" w:rsidR="00B67ED7" w:rsidRPr="00B67ED7" w:rsidRDefault="00B67ED7" w:rsidP="004651AC">
      <w:pPr>
        <w:pStyle w:val="NoSpacing"/>
        <w:spacing w:line="360" w:lineRule="auto"/>
        <w:ind w:firstLine="720"/>
        <w:jc w:val="both"/>
        <w:rPr>
          <w:rFonts w:asciiTheme="minorBidi" w:hAnsiTheme="minorBidi" w:cstheme="minorBidi"/>
          <w:sz w:val="24"/>
          <w:szCs w:val="24"/>
          <w:lang w:val="en-ID"/>
        </w:rPr>
      </w:pPr>
      <w:r w:rsidRPr="00B67ED7">
        <w:rPr>
          <w:rFonts w:asciiTheme="minorBidi" w:hAnsiTheme="minorBidi" w:cstheme="minorBidi"/>
          <w:sz w:val="24"/>
          <w:szCs w:val="24"/>
          <w:lang w:val="en-ID"/>
        </w:rPr>
        <w:t>Furthermore, the urgency of the MBG program lies in its role in addressing nutritional inequality and socioeconomic disparities among students. The MBG program is believed to bring numerous benefits, including reducing hunger, preventing stunting, and lowering child malnutrition rates, despite the many challenges faced in its implementation</w:t>
      </w:r>
      <w:r w:rsidR="0049220D">
        <w:rPr>
          <w:rFonts w:asciiTheme="minorBidi" w:hAnsiTheme="minorBidi" w:cstheme="minorBidi"/>
          <w:sz w:val="24"/>
          <w:szCs w:val="24"/>
          <w:lang w:val="en-ID"/>
        </w:rPr>
        <w:t xml:space="preserve"> (</w:t>
      </w:r>
      <w:r w:rsidR="0049220D" w:rsidRPr="005549D8">
        <w:rPr>
          <w:rFonts w:asciiTheme="minorBidi" w:hAnsiTheme="minorBidi" w:cstheme="minorBidi"/>
          <w:noProof/>
          <w:sz w:val="24"/>
          <w:szCs w:val="24"/>
          <w:lang w:val="en-GB"/>
        </w:rPr>
        <w:t>Kiftiyah et al., 2025).</w:t>
      </w:r>
    </w:p>
    <w:p w14:paraId="1EC6E2E8" w14:textId="19E033FA" w:rsidR="00B67ED7" w:rsidRPr="00B67ED7" w:rsidRDefault="00B67ED7" w:rsidP="004651AC">
      <w:pPr>
        <w:pStyle w:val="NoSpacing"/>
        <w:spacing w:line="360" w:lineRule="auto"/>
        <w:ind w:firstLine="720"/>
        <w:jc w:val="both"/>
        <w:rPr>
          <w:rFonts w:asciiTheme="minorBidi" w:hAnsiTheme="minorBidi" w:cstheme="minorBidi"/>
          <w:sz w:val="24"/>
          <w:szCs w:val="24"/>
          <w:lang w:val="en-ID"/>
        </w:rPr>
      </w:pPr>
      <w:r w:rsidRPr="00B67ED7">
        <w:rPr>
          <w:rFonts w:asciiTheme="minorBidi" w:hAnsiTheme="minorBidi" w:cstheme="minorBidi"/>
          <w:sz w:val="24"/>
          <w:szCs w:val="24"/>
          <w:lang w:val="en-ID"/>
        </w:rPr>
        <w:t>Schools occupy a central position in the success of the Free Nutritious Meal Program. They are not only recipients of the program’s benefits but also serve as implementers, supervisors, and key drivers ensuring that the program runs effectively. Through the synergy between educational and health functions, schools play a crucial role in shaping a generation that is intelligent, healthy, and competitive</w:t>
      </w:r>
      <w:r w:rsidRPr="00330224">
        <w:rPr>
          <w:rFonts w:asciiTheme="minorBidi" w:hAnsiTheme="minorBidi" w:cstheme="minorBidi"/>
          <w:sz w:val="24"/>
          <w:szCs w:val="24"/>
          <w:lang w:val="en-ID"/>
        </w:rPr>
        <w:t xml:space="preserve"> </w:t>
      </w:r>
      <w:r w:rsidRPr="00B67ED7">
        <w:rPr>
          <w:rFonts w:asciiTheme="minorBidi" w:hAnsiTheme="minorBidi" w:cstheme="minorBidi"/>
          <w:sz w:val="24"/>
          <w:szCs w:val="24"/>
          <w:lang w:val="en-ID"/>
        </w:rPr>
        <w:t>an essential investment for the nation’s future.</w:t>
      </w:r>
    </w:p>
    <w:p w14:paraId="0B82D129" w14:textId="77777777" w:rsidR="00330224" w:rsidRPr="00330224" w:rsidRDefault="00330224" w:rsidP="004651AC">
      <w:pPr>
        <w:pStyle w:val="NoSpacing"/>
        <w:spacing w:line="360" w:lineRule="auto"/>
        <w:ind w:firstLine="720"/>
        <w:jc w:val="both"/>
        <w:rPr>
          <w:rFonts w:asciiTheme="minorBidi" w:hAnsiTheme="minorBidi" w:cstheme="minorBidi"/>
          <w:sz w:val="24"/>
          <w:szCs w:val="24"/>
          <w:lang w:val="en-ID"/>
        </w:rPr>
      </w:pPr>
      <w:r w:rsidRPr="00330224">
        <w:rPr>
          <w:rFonts w:asciiTheme="minorBidi" w:hAnsiTheme="minorBidi" w:cstheme="minorBidi"/>
          <w:sz w:val="24"/>
          <w:szCs w:val="24"/>
          <w:lang w:val="en-ID"/>
        </w:rPr>
        <w:t xml:space="preserve">The relationship between the implementation of the MBG program and the perspective of educational management lies in how the program is systematically managed within the school environment to achieve national education goals optimally. In the context of educational management, MBG is not viewed as an auxiliary activity but as an integral part of the management functions that include planning, organizing, implementing, and supervising. Planning involves determining target beneficiaries, nutritional needs, and appropriate food distribution mechanisms according to school </w:t>
      </w:r>
      <w:r w:rsidRPr="00330224">
        <w:rPr>
          <w:rFonts w:asciiTheme="minorBidi" w:hAnsiTheme="minorBidi" w:cstheme="minorBidi"/>
          <w:sz w:val="24"/>
          <w:szCs w:val="24"/>
          <w:lang w:val="en-ID"/>
        </w:rPr>
        <w:lastRenderedPageBreak/>
        <w:t>conditions. Organizing includes dividing responsibilities among principals, teachers, health workers, and food providers to ensure effective and efficient implementation.</w:t>
      </w:r>
    </w:p>
    <w:p w14:paraId="349ED781" w14:textId="71AFCB58" w:rsidR="00330224" w:rsidRPr="00330224" w:rsidRDefault="00330224" w:rsidP="004651AC">
      <w:pPr>
        <w:pStyle w:val="NoSpacing"/>
        <w:spacing w:line="360" w:lineRule="auto"/>
        <w:ind w:firstLine="720"/>
        <w:jc w:val="both"/>
        <w:rPr>
          <w:rFonts w:asciiTheme="minorBidi" w:hAnsiTheme="minorBidi" w:cstheme="minorBidi"/>
          <w:sz w:val="24"/>
          <w:szCs w:val="24"/>
          <w:lang w:val="en-ID"/>
        </w:rPr>
      </w:pPr>
      <w:r w:rsidRPr="00330224">
        <w:rPr>
          <w:rFonts w:asciiTheme="minorBidi" w:hAnsiTheme="minorBidi" w:cstheme="minorBidi"/>
          <w:sz w:val="24"/>
          <w:szCs w:val="24"/>
          <w:lang w:val="en-ID"/>
        </w:rPr>
        <w:t>From the standpoint of implementation and supervision, schools serve as coordination canters to ensure that the program adheres to hygiene standards, nutritional quality, and timeliness. The school principal acts as an educational manager who coordinates synergy between internal stakeholders (teachers, students, and the school committee) and external stakeholders (education offices, food providers, and the community). The implementation of MBG also reflects the application of participatory management principles, where program success depends heavily on the collaboration of multiple parties and community support. Thus, from the educational management perspective, MBG functions as an instrument to strengthen a healthy school ecosystem, enhance students’ learning motivation, and develop an education governance system oriented toward students’ holistic wellbeing.</w:t>
      </w:r>
    </w:p>
    <w:p w14:paraId="00000007" w14:textId="53D01820" w:rsidR="002E6832" w:rsidRPr="00F625C0" w:rsidRDefault="009C1315" w:rsidP="004651AC">
      <w:pPr>
        <w:pStyle w:val="NoSpacing"/>
        <w:spacing w:line="360" w:lineRule="auto"/>
        <w:jc w:val="both"/>
        <w:rPr>
          <w:rFonts w:asciiTheme="minorBidi" w:eastAsia="Arial" w:hAnsiTheme="minorBidi" w:cstheme="minorBidi"/>
          <w:b/>
          <w:bCs/>
          <w:sz w:val="28"/>
          <w:szCs w:val="28"/>
        </w:rPr>
      </w:pPr>
      <w:r w:rsidRPr="00F625C0">
        <w:rPr>
          <w:rFonts w:asciiTheme="minorBidi" w:eastAsia="Arial" w:hAnsiTheme="minorBidi" w:cstheme="minorBidi"/>
          <w:b/>
          <w:bCs/>
          <w:sz w:val="28"/>
          <w:szCs w:val="28"/>
        </w:rPr>
        <w:t>2. Content</w:t>
      </w:r>
    </w:p>
    <w:p w14:paraId="5EB16CA7" w14:textId="77777777" w:rsidR="00B22BE6" w:rsidRPr="00B22BE6" w:rsidRDefault="00B22BE6" w:rsidP="004651AC">
      <w:pPr>
        <w:pStyle w:val="NoSpacing"/>
        <w:spacing w:line="360" w:lineRule="auto"/>
        <w:ind w:firstLine="720"/>
        <w:jc w:val="both"/>
        <w:rPr>
          <w:rFonts w:asciiTheme="minorBidi" w:hAnsiTheme="minorBidi" w:cstheme="minorBidi"/>
          <w:snapToGrid/>
          <w:sz w:val="24"/>
          <w:szCs w:val="24"/>
          <w:lang w:val="en-ID" w:eastAsia="en-ID"/>
        </w:rPr>
      </w:pPr>
      <w:r w:rsidRPr="00B22BE6">
        <w:rPr>
          <w:rFonts w:asciiTheme="minorBidi" w:hAnsiTheme="minorBidi" w:cstheme="minorBidi"/>
          <w:snapToGrid/>
          <w:sz w:val="24"/>
          <w:szCs w:val="24"/>
          <w:lang w:val="en-ID" w:eastAsia="en-ID"/>
        </w:rPr>
        <w:t xml:space="preserve">Schools have a very close relationship with the implementation of the Free Nutritious Meal Program (MBG), as they serve both as the primary venue and the main target of the program. The purpose of this initiative is to address nutritional problems and improve the quality of Indonesia’s human resources, particularly among children and pregnant women. This effort helps enhance students’ concentration and engagement in learning activities regardless of their economic or social background (Ajeng, 2025). The MBG program is believed to bring numerous benefits, including reducing hunger, preventing stunting, and decreasing child malnutrition rates, despite the many challenges faced in its implementation </w:t>
      </w:r>
      <w:r w:rsidRPr="00B22BE6">
        <w:rPr>
          <w:rFonts w:asciiTheme="minorBidi" w:hAnsiTheme="minorBidi" w:cstheme="minorBidi"/>
          <w:noProof/>
          <w:snapToGrid/>
          <w:sz w:val="24"/>
          <w:szCs w:val="24"/>
          <w:lang w:val="en-ID" w:eastAsia="en-ID"/>
        </w:rPr>
        <w:t>(Kiftiyah et al., 2025).</w:t>
      </w:r>
    </w:p>
    <w:p w14:paraId="57A226EC" w14:textId="21958029" w:rsidR="00B22BE6" w:rsidRPr="00B22BE6" w:rsidRDefault="00B22BE6" w:rsidP="004651AC">
      <w:pPr>
        <w:pStyle w:val="NoSpacing"/>
        <w:spacing w:line="360" w:lineRule="auto"/>
        <w:ind w:firstLine="720"/>
        <w:jc w:val="both"/>
        <w:rPr>
          <w:rFonts w:asciiTheme="minorBidi" w:hAnsiTheme="minorBidi" w:cstheme="minorBidi"/>
          <w:snapToGrid/>
          <w:sz w:val="24"/>
          <w:szCs w:val="24"/>
          <w:lang w:val="en-ID" w:eastAsia="en-ID"/>
        </w:rPr>
      </w:pPr>
      <w:r w:rsidRPr="00B22BE6">
        <w:rPr>
          <w:rFonts w:asciiTheme="minorBidi" w:hAnsiTheme="minorBidi" w:cstheme="minorBidi"/>
          <w:snapToGrid/>
          <w:sz w:val="24"/>
          <w:szCs w:val="24"/>
          <w:lang w:val="en-ID" w:eastAsia="en-ID"/>
        </w:rPr>
        <w:t>As formal educational institutions, schools represent the most strategic setting for reaching school</w:t>
      </w:r>
      <w:r w:rsidR="00D73873">
        <w:rPr>
          <w:rFonts w:asciiTheme="minorBidi" w:hAnsiTheme="minorBidi" w:cstheme="minorBidi"/>
          <w:snapToGrid/>
          <w:sz w:val="24"/>
          <w:szCs w:val="24"/>
          <w:lang w:val="en-ID" w:eastAsia="en-ID"/>
        </w:rPr>
        <w:t xml:space="preserve"> </w:t>
      </w:r>
      <w:r w:rsidRPr="00B22BE6">
        <w:rPr>
          <w:rFonts w:asciiTheme="minorBidi" w:hAnsiTheme="minorBidi" w:cstheme="minorBidi"/>
          <w:snapToGrid/>
          <w:sz w:val="24"/>
          <w:szCs w:val="24"/>
          <w:lang w:val="en-ID" w:eastAsia="en-ID"/>
        </w:rPr>
        <w:t>age children who are in their critical stages of growth and development. Through structured learning activities in schools, the government can ensure that every student receives sufficient and balanced nutrition without depending on their family’s economic conditions.</w:t>
      </w:r>
    </w:p>
    <w:p w14:paraId="02BC06ED" w14:textId="3A369338" w:rsidR="00B22BE6" w:rsidRPr="00B22BE6" w:rsidRDefault="00B22BE6" w:rsidP="004651AC">
      <w:pPr>
        <w:pStyle w:val="NoSpacing"/>
        <w:spacing w:line="360" w:lineRule="auto"/>
        <w:ind w:firstLine="720"/>
        <w:jc w:val="both"/>
        <w:rPr>
          <w:rFonts w:asciiTheme="minorBidi" w:hAnsiTheme="minorBidi" w:cstheme="minorBidi"/>
          <w:snapToGrid/>
          <w:sz w:val="24"/>
          <w:szCs w:val="24"/>
          <w:lang w:val="en-ID" w:eastAsia="en-ID"/>
        </w:rPr>
      </w:pPr>
      <w:r w:rsidRPr="00B22BE6">
        <w:rPr>
          <w:rFonts w:asciiTheme="minorBidi" w:hAnsiTheme="minorBidi" w:cstheme="minorBidi"/>
          <w:snapToGrid/>
          <w:sz w:val="24"/>
          <w:szCs w:val="24"/>
          <w:lang w:val="en-ID" w:eastAsia="en-ID"/>
        </w:rPr>
        <w:t xml:space="preserve">In addition to serving as the place of implementation, schools play an important role in the managerial aspects of the MBG program. Principals, teachers, and education personnel actively engage in planning, task distribution, implementation, and supervision of the meal service activities. They ensure that the food provided meets </w:t>
      </w:r>
      <w:r w:rsidRPr="00B22BE6">
        <w:rPr>
          <w:rFonts w:asciiTheme="minorBidi" w:hAnsiTheme="minorBidi" w:cstheme="minorBidi"/>
          <w:snapToGrid/>
          <w:sz w:val="24"/>
          <w:szCs w:val="24"/>
          <w:lang w:val="en-ID" w:eastAsia="en-ID"/>
        </w:rPr>
        <w:lastRenderedPageBreak/>
        <w:t xml:space="preserve">nutritional standards, cleanliness, and food safety requirements. Through effective coordination with school committees, local governments, and the National Nutrition Agency (BGN), the program can be implemented efficiently and reach its intended beneficiaries. In the context of educational management, the management functions of planning, organizing, actuating, and controlling (POAC) serve as crucial guidelines for maintaining the continuity and sustainability of the program </w:t>
      </w:r>
      <w:r w:rsidR="00D86BB5">
        <w:rPr>
          <w:rFonts w:asciiTheme="minorBidi" w:hAnsiTheme="minorBidi" w:cstheme="minorBidi"/>
          <w:snapToGrid/>
          <w:sz w:val="24"/>
          <w:szCs w:val="24"/>
          <w:lang w:val="en-ID" w:eastAsia="en-ID"/>
        </w:rPr>
        <w:fldChar w:fldCharType="begin" w:fldLock="1"/>
      </w:r>
      <w:r w:rsidR="00BD0A45">
        <w:rPr>
          <w:rFonts w:asciiTheme="minorBidi" w:hAnsiTheme="minorBidi" w:cstheme="minorBidi"/>
          <w:snapToGrid/>
          <w:sz w:val="24"/>
          <w:szCs w:val="24"/>
          <w:lang w:val="en-ID" w:eastAsia="en-ID"/>
        </w:rPr>
        <w:instrText>ADDIN CSL_CITATION {"citationItems":[{"id":"ITEM-1","itemData":{"author":[{"dropping-particle":"","family":"Kinanthi","given":"Tsabita Khansa","non-dropping-particle":"","parse-names":false,"suffix":""},{"dropping-particle":"","family":"Wardani","given":"Dira Kusuma","non-dropping-particle":"","parse-names":false,"suffix":""},{"dropping-particle":"","family":"Sarie","given":"Amalya Cantika","non-dropping-particle":"","parse-names":false,"suffix":""},{"dropping-particle":"","family":"Marini","given":"Arita","non-dropping-particle":"","parse-names":false,"suffix":""}],"container-title":"Jurnal Pendidikan Guru Sekolah Dasar","id":"ITEM-1","issue":"3","issued":{"date-parts":[["2024"]]},"page":"1-9","title":"Meningkatkan Efektivitas Manajemen Sekolah dalam Penerapan Pendidikan Inklusif di Sekolah Dasar","type":"article-journal","volume":"1"},"uris":["http://www.mendeley.com/documents/?uuid=078093e0-b11e-4681-83af-3e8781d821ee"]}],"mendeley":{"formattedCitation":"(Kinanthi et al., 2024)","plainTextFormattedCitation":"(Kinanthi et al., 2024)","previouslyFormattedCitation":"(Kinanthi, Wardani, Sarie, &amp; Marini, 2024)"},"properties":{"noteIndex":0},"schema":"https://github.com/citation-style-language/schema/raw/master/csl-citation.json"}</w:instrText>
      </w:r>
      <w:r w:rsidR="00D86BB5">
        <w:rPr>
          <w:rFonts w:asciiTheme="minorBidi" w:hAnsiTheme="minorBidi" w:cstheme="minorBidi"/>
          <w:snapToGrid/>
          <w:sz w:val="24"/>
          <w:szCs w:val="24"/>
          <w:lang w:val="en-ID" w:eastAsia="en-ID"/>
        </w:rPr>
        <w:fldChar w:fldCharType="separate"/>
      </w:r>
      <w:r w:rsidR="00BD0A45" w:rsidRPr="00BD0A45">
        <w:rPr>
          <w:rFonts w:asciiTheme="minorBidi" w:hAnsiTheme="minorBidi" w:cstheme="minorBidi"/>
          <w:noProof/>
          <w:snapToGrid/>
          <w:sz w:val="24"/>
          <w:szCs w:val="24"/>
          <w:lang w:val="en-ID" w:eastAsia="en-ID"/>
        </w:rPr>
        <w:t>(Kinanthi et al., 2024)</w:t>
      </w:r>
      <w:r w:rsidR="00D86BB5">
        <w:rPr>
          <w:rFonts w:asciiTheme="minorBidi" w:hAnsiTheme="minorBidi" w:cstheme="minorBidi"/>
          <w:snapToGrid/>
          <w:sz w:val="24"/>
          <w:szCs w:val="24"/>
          <w:lang w:val="en-ID" w:eastAsia="en-ID"/>
        </w:rPr>
        <w:fldChar w:fldCharType="end"/>
      </w:r>
      <w:r w:rsidRPr="00B22BE6">
        <w:rPr>
          <w:rFonts w:asciiTheme="minorBidi" w:hAnsiTheme="minorBidi" w:cstheme="minorBidi"/>
          <w:snapToGrid/>
          <w:sz w:val="24"/>
          <w:szCs w:val="24"/>
          <w:lang w:val="en-ID" w:eastAsia="en-ID"/>
        </w:rPr>
        <w:t>.</w:t>
      </w:r>
    </w:p>
    <w:p w14:paraId="026267C0" w14:textId="77777777" w:rsidR="00B22BE6" w:rsidRPr="00B22BE6" w:rsidRDefault="00B22BE6" w:rsidP="004651AC">
      <w:pPr>
        <w:pStyle w:val="NoSpacing"/>
        <w:spacing w:line="360" w:lineRule="auto"/>
        <w:ind w:firstLine="720"/>
        <w:jc w:val="both"/>
        <w:rPr>
          <w:rFonts w:asciiTheme="minorBidi" w:hAnsiTheme="minorBidi" w:cstheme="minorBidi"/>
          <w:snapToGrid/>
          <w:sz w:val="24"/>
          <w:szCs w:val="24"/>
          <w:lang w:val="en-ID" w:eastAsia="en-ID"/>
        </w:rPr>
      </w:pPr>
      <w:r w:rsidRPr="00B22BE6">
        <w:rPr>
          <w:rFonts w:asciiTheme="minorBidi" w:hAnsiTheme="minorBidi" w:cstheme="minorBidi"/>
          <w:snapToGrid/>
          <w:sz w:val="24"/>
          <w:szCs w:val="24"/>
          <w:lang w:val="en-ID" w:eastAsia="en-ID"/>
        </w:rPr>
        <w:t>Furthermore, schools serve as a medium for character formation and the cultivation of healthy lifestyle habits among students. The shared mealtime activities foster values of discipline, togetherness, and gratitude. Students learn to appreciate food, maintain cleanliness, and understand the importance of a balanced diet for their physical health and academic performance. Thus, the MBG program not only contributes to improved nutrition but also plays a vital role in developing students’ character and promoting a culture of healthy living within the school environment.</w:t>
      </w:r>
    </w:p>
    <w:p w14:paraId="1432E654" w14:textId="77777777" w:rsidR="00B22BE6" w:rsidRPr="00B22BE6" w:rsidRDefault="00B22BE6" w:rsidP="004651AC">
      <w:pPr>
        <w:pStyle w:val="NoSpacing"/>
        <w:spacing w:line="360" w:lineRule="auto"/>
        <w:ind w:firstLine="720"/>
        <w:jc w:val="both"/>
        <w:rPr>
          <w:rFonts w:asciiTheme="minorBidi" w:hAnsiTheme="minorBidi" w:cstheme="minorBidi"/>
          <w:snapToGrid/>
          <w:sz w:val="24"/>
          <w:szCs w:val="24"/>
          <w:lang w:val="en-ID" w:eastAsia="en-ID"/>
        </w:rPr>
      </w:pPr>
      <w:r w:rsidRPr="00B22BE6">
        <w:rPr>
          <w:rFonts w:asciiTheme="minorBidi" w:hAnsiTheme="minorBidi" w:cstheme="minorBidi"/>
          <w:snapToGrid/>
          <w:sz w:val="24"/>
          <w:szCs w:val="24"/>
          <w:lang w:val="en-ID" w:eastAsia="en-ID"/>
        </w:rPr>
        <w:t>Moreover, schools act as bridges for collaboration between the government and the community. The implementation of the MBG program often involves various stakeholders, including school committees, parents, local MSME food providers, and relevant government agencies (Merlinda &amp; Yusuf, 2025). This collaboration strengthens collective ownership of the program while simultaneously empowering the local economy surrounding the school. In other words, the relationship between schools and the MBG program is not merely administrative but also socioeconomic, as schools become key agents through which the program can reach more children while enhancing local food security and community well-being.</w:t>
      </w:r>
    </w:p>
    <w:p w14:paraId="7EF96C45" w14:textId="77777777" w:rsidR="00710FAF" w:rsidRPr="00710FAF" w:rsidRDefault="00710FAF" w:rsidP="004651AC">
      <w:pPr>
        <w:pStyle w:val="NoSpacing"/>
        <w:spacing w:line="360" w:lineRule="auto"/>
        <w:jc w:val="both"/>
        <w:rPr>
          <w:rFonts w:asciiTheme="minorBidi" w:eastAsia="Arial" w:hAnsiTheme="minorBidi" w:cstheme="minorBidi"/>
          <w:b/>
          <w:bCs/>
          <w:sz w:val="28"/>
          <w:szCs w:val="28"/>
          <w:lang w:val="en-ID"/>
        </w:rPr>
      </w:pPr>
      <w:r w:rsidRPr="00710FAF">
        <w:rPr>
          <w:rFonts w:asciiTheme="minorBidi" w:eastAsia="Arial" w:hAnsiTheme="minorBidi" w:cstheme="minorBidi"/>
          <w:b/>
          <w:bCs/>
          <w:sz w:val="28"/>
          <w:szCs w:val="28"/>
          <w:lang w:val="en-ID"/>
        </w:rPr>
        <w:t>3. Analysis</w:t>
      </w:r>
    </w:p>
    <w:p w14:paraId="76A10D33" w14:textId="3B99601F" w:rsidR="0062173E" w:rsidRPr="0062173E" w:rsidRDefault="00E05530" w:rsidP="004651AC">
      <w:pPr>
        <w:spacing w:line="360" w:lineRule="auto"/>
        <w:ind w:firstLine="720"/>
        <w:jc w:val="both"/>
        <w:rPr>
          <w:rFonts w:asciiTheme="minorBidi" w:eastAsia="Arial" w:hAnsiTheme="minorBidi" w:cstheme="minorBidi"/>
          <w:sz w:val="24"/>
          <w:szCs w:val="24"/>
          <w:lang w:val="en-ID"/>
        </w:rPr>
      </w:pPr>
      <w:r w:rsidRPr="00E05530">
        <w:rPr>
          <w:rFonts w:asciiTheme="minorBidi" w:eastAsia="Arial" w:hAnsiTheme="minorBidi" w:cstheme="minorBidi"/>
          <w:sz w:val="24"/>
          <w:szCs w:val="24"/>
          <w:lang w:val="en-ID"/>
        </w:rPr>
        <w:t>T</w:t>
      </w:r>
      <w:r w:rsidR="0062173E" w:rsidRPr="0062173E">
        <w:rPr>
          <w:rFonts w:asciiTheme="minorBidi" w:eastAsia="Arial" w:hAnsiTheme="minorBidi" w:cstheme="minorBidi"/>
          <w:sz w:val="24"/>
          <w:szCs w:val="24"/>
          <w:lang w:val="en-ID"/>
        </w:rPr>
        <w:t>he Free Nutritious Meal Program (MBG) began its national implementation on January 6, 2025, across 26 provinces in Indonesia, targeting approximately three million schoolchildren in its initial phase. The program has become one of the flagship policies of the Prabowo–Gibran administration in the areas of education and child health. However, the early implementation of MBG has sparked various debates among experts and the public.</w:t>
      </w:r>
    </w:p>
    <w:p w14:paraId="1B84478E" w14:textId="77777777" w:rsidR="0062173E" w:rsidRPr="0062173E" w:rsidRDefault="0062173E" w:rsidP="004651AC">
      <w:pPr>
        <w:spacing w:line="360" w:lineRule="auto"/>
        <w:ind w:firstLine="720"/>
        <w:jc w:val="both"/>
        <w:rPr>
          <w:rFonts w:asciiTheme="minorBidi" w:eastAsia="Arial" w:hAnsiTheme="minorBidi" w:cstheme="minorBidi"/>
          <w:sz w:val="24"/>
          <w:szCs w:val="24"/>
          <w:lang w:val="en-ID"/>
        </w:rPr>
      </w:pPr>
      <w:r w:rsidRPr="0062173E">
        <w:rPr>
          <w:rFonts w:asciiTheme="minorBidi" w:eastAsia="Arial" w:hAnsiTheme="minorBidi" w:cstheme="minorBidi"/>
          <w:sz w:val="24"/>
          <w:szCs w:val="24"/>
          <w:lang w:val="en-ID"/>
        </w:rPr>
        <w:t xml:space="preserve">Several studies have suggested that the policy was launched hastily, as its concept and implementation mechanisms underwent frequent revisions before being formally adopted as a national program. This situation raised concerns regarding </w:t>
      </w:r>
      <w:r w:rsidRPr="0062173E">
        <w:rPr>
          <w:rFonts w:asciiTheme="minorBidi" w:eastAsia="Arial" w:hAnsiTheme="minorBidi" w:cstheme="minorBidi"/>
          <w:sz w:val="24"/>
          <w:szCs w:val="24"/>
          <w:lang w:val="en-ID"/>
        </w:rPr>
        <w:lastRenderedPageBreak/>
        <w:t>infrastructure readiness, funding mechanisms, and implementation capacity at the local level. Such criticisms highlight that, although the program’s goals are highly strategic in improving children’s nutrition and supporting education, the aspects of policy planning and evaluation must be strengthened to ensure more effective, efficient, and sustainable execution. Consequently, the implementation of MBG serves as an important case study for assessing how public and educational policy management processes align with the principles of evidence-based policymaking and the readiness of local support systems (Aji, 2025).</w:t>
      </w:r>
    </w:p>
    <w:p w14:paraId="3CB9C6F6" w14:textId="3086BAA3" w:rsidR="0062173E" w:rsidRPr="0062173E" w:rsidRDefault="0062173E" w:rsidP="004651AC">
      <w:pPr>
        <w:spacing w:line="360" w:lineRule="auto"/>
        <w:ind w:firstLine="720"/>
        <w:jc w:val="both"/>
        <w:rPr>
          <w:rFonts w:asciiTheme="minorBidi" w:eastAsia="Arial" w:hAnsiTheme="minorBidi" w:cstheme="minorBidi"/>
          <w:sz w:val="24"/>
          <w:szCs w:val="24"/>
          <w:lang w:val="en-ID"/>
        </w:rPr>
      </w:pPr>
      <w:r w:rsidRPr="0062173E">
        <w:rPr>
          <w:rFonts w:asciiTheme="minorBidi" w:eastAsia="Arial" w:hAnsiTheme="minorBidi" w:cstheme="minorBidi"/>
          <w:sz w:val="24"/>
          <w:szCs w:val="24"/>
          <w:lang w:val="en-ID"/>
        </w:rPr>
        <w:t>From the school management perspective, the main issues surrounding the MBG program relate to how schools manage this complex initiative within existing educational organizational structures. From the standpoint of educational management, the implementation of MBG presents various challenges to the core management functions planning, organizing, implementing, and supervising.</w:t>
      </w:r>
    </w:p>
    <w:p w14:paraId="4CC13904" w14:textId="2BB52DD7" w:rsidR="00532030" w:rsidRPr="00532030" w:rsidRDefault="00532030" w:rsidP="00532030">
      <w:pPr>
        <w:spacing w:line="360" w:lineRule="auto"/>
        <w:ind w:firstLine="720"/>
        <w:jc w:val="both"/>
        <w:rPr>
          <w:rFonts w:asciiTheme="minorBidi" w:eastAsia="Arial" w:hAnsiTheme="minorBidi" w:cstheme="minorBidi"/>
          <w:sz w:val="24"/>
          <w:szCs w:val="24"/>
        </w:rPr>
      </w:pPr>
      <w:r w:rsidRPr="00532030">
        <w:rPr>
          <w:rFonts w:asciiTheme="minorBidi" w:eastAsia="Arial" w:hAnsiTheme="minorBidi" w:cstheme="minorBidi"/>
          <w:sz w:val="24"/>
          <w:szCs w:val="24"/>
        </w:rPr>
        <w:t>First, in terms of planning, many BGNs do not have the ability to carry out technical planning related to logistics needs, scheduling food distribution, and adjusting learning activities to school meal times. The MBG program demands additional coordination that is often not integrated into the school's work plan</w:t>
      </w:r>
      <w:r>
        <w:rPr>
          <w:rFonts w:asciiTheme="minorBidi" w:eastAsia="Arial" w:hAnsiTheme="minorBidi" w:cstheme="minorBidi"/>
          <w:sz w:val="24"/>
          <w:szCs w:val="24"/>
        </w:rPr>
        <w:t>.</w:t>
      </w:r>
    </w:p>
    <w:p w14:paraId="6C27D61F" w14:textId="285129E7" w:rsidR="0062173E" w:rsidRPr="0062173E" w:rsidRDefault="0062173E" w:rsidP="00532030">
      <w:pPr>
        <w:spacing w:line="360" w:lineRule="auto"/>
        <w:ind w:firstLine="720"/>
        <w:jc w:val="both"/>
        <w:rPr>
          <w:rFonts w:asciiTheme="minorBidi" w:eastAsia="Arial" w:hAnsiTheme="minorBidi" w:cstheme="minorBidi"/>
          <w:sz w:val="24"/>
          <w:szCs w:val="24"/>
          <w:lang w:val="en-ID"/>
        </w:rPr>
      </w:pPr>
      <w:r w:rsidRPr="0062173E">
        <w:rPr>
          <w:rFonts w:asciiTheme="minorBidi" w:eastAsia="Arial" w:hAnsiTheme="minorBidi" w:cstheme="minorBidi"/>
          <w:sz w:val="24"/>
          <w:szCs w:val="24"/>
          <w:lang w:val="en-ID"/>
        </w:rPr>
        <w:t>Second, regarding organizing, the existing school organizational structure was not designed to manage large-scale food service activities. Principals and teachers must take on additional roles as food distribution supervisors, even though there are no specific positions or dedicated teams to handle nutrition program management.</w:t>
      </w:r>
    </w:p>
    <w:p w14:paraId="4F4E5C58" w14:textId="77777777" w:rsidR="0062173E" w:rsidRPr="0062173E" w:rsidRDefault="0062173E" w:rsidP="004651AC">
      <w:pPr>
        <w:spacing w:line="360" w:lineRule="auto"/>
        <w:ind w:firstLine="720"/>
        <w:jc w:val="both"/>
        <w:rPr>
          <w:rFonts w:asciiTheme="minorBidi" w:eastAsia="Arial" w:hAnsiTheme="minorBidi" w:cstheme="minorBidi"/>
          <w:sz w:val="24"/>
          <w:szCs w:val="24"/>
          <w:lang w:val="en-ID"/>
        </w:rPr>
      </w:pPr>
      <w:r w:rsidRPr="0062173E">
        <w:rPr>
          <w:rFonts w:asciiTheme="minorBidi" w:eastAsia="Arial" w:hAnsiTheme="minorBidi" w:cstheme="minorBidi"/>
          <w:sz w:val="24"/>
          <w:szCs w:val="24"/>
          <w:lang w:val="en-ID"/>
        </w:rPr>
        <w:t>Third, during the implementation stage, limitations in facilities such as dining spaces, equipment, and sanitation present significant challenges. Many schools do not have kitchens or adequate supporting infrastructure, forcing them to rely on external food providers. Moreover, coordination between schools and providers often does not run smoothly, resulting in delivery delays or mismatches between menus and nutritional standards.</w:t>
      </w:r>
    </w:p>
    <w:p w14:paraId="0C398A31" w14:textId="77777777" w:rsidR="0062173E" w:rsidRPr="0062173E" w:rsidRDefault="0062173E" w:rsidP="004651AC">
      <w:pPr>
        <w:spacing w:line="360" w:lineRule="auto"/>
        <w:ind w:firstLine="720"/>
        <w:jc w:val="both"/>
        <w:rPr>
          <w:rFonts w:asciiTheme="minorBidi" w:eastAsia="Arial" w:hAnsiTheme="minorBidi" w:cstheme="minorBidi"/>
          <w:sz w:val="24"/>
          <w:szCs w:val="24"/>
          <w:lang w:val="en-ID"/>
        </w:rPr>
      </w:pPr>
      <w:r w:rsidRPr="0062173E">
        <w:rPr>
          <w:rFonts w:asciiTheme="minorBidi" w:eastAsia="Arial" w:hAnsiTheme="minorBidi" w:cstheme="minorBidi"/>
          <w:sz w:val="24"/>
          <w:szCs w:val="24"/>
          <w:lang w:val="en-ID"/>
        </w:rPr>
        <w:t>Fourth, in terms of supervision, schools often struggle to ensure the quality, hygiene, and equitable distribution of food. Teachers and education staff assigned to supervise the process frequently lack competence in food safety or child nutrition. Administrative oversight, including data reporting and documentation of program implementation, also increases the workload of school personnel.</w:t>
      </w:r>
    </w:p>
    <w:p w14:paraId="4D2C3034" w14:textId="6D7D9C46" w:rsidR="0062173E" w:rsidRPr="0062173E" w:rsidRDefault="0062173E" w:rsidP="004651AC">
      <w:pPr>
        <w:spacing w:line="360" w:lineRule="auto"/>
        <w:ind w:firstLine="720"/>
        <w:jc w:val="both"/>
        <w:rPr>
          <w:rFonts w:asciiTheme="minorBidi" w:hAnsiTheme="minorBidi" w:cstheme="minorBidi"/>
          <w:color w:val="000000"/>
          <w:sz w:val="24"/>
          <w:szCs w:val="24"/>
          <w:lang w:val="en-ID"/>
        </w:rPr>
      </w:pPr>
      <w:r w:rsidRPr="0062173E">
        <w:rPr>
          <w:rFonts w:asciiTheme="minorBidi" w:hAnsiTheme="minorBidi" w:cstheme="minorBidi"/>
          <w:color w:val="000000"/>
          <w:sz w:val="24"/>
          <w:szCs w:val="24"/>
          <w:lang w:val="en-ID"/>
        </w:rPr>
        <w:lastRenderedPageBreak/>
        <w:t>The Impacts of Disruptions in the School’s Internal Management System</w:t>
      </w:r>
      <w:r w:rsidR="00F44A13">
        <w:rPr>
          <w:rFonts w:asciiTheme="minorBidi" w:hAnsiTheme="minorBidi" w:cstheme="minorBidi"/>
          <w:color w:val="000000"/>
          <w:sz w:val="24"/>
          <w:szCs w:val="24"/>
          <w:lang w:val="en-ID"/>
        </w:rPr>
        <w:t>:</w:t>
      </w:r>
    </w:p>
    <w:p w14:paraId="5EF14B45" w14:textId="77777777" w:rsidR="00C306B0" w:rsidRDefault="0062173E" w:rsidP="004651AC">
      <w:pPr>
        <w:spacing w:line="360" w:lineRule="auto"/>
        <w:jc w:val="both"/>
        <w:rPr>
          <w:rFonts w:asciiTheme="minorBidi" w:hAnsiTheme="minorBidi" w:cstheme="minorBidi"/>
          <w:color w:val="000000"/>
          <w:sz w:val="24"/>
          <w:szCs w:val="24"/>
          <w:lang w:val="en-ID"/>
        </w:rPr>
      </w:pPr>
      <w:r w:rsidRPr="0062173E">
        <w:rPr>
          <w:rFonts w:asciiTheme="minorBidi" w:hAnsiTheme="minorBidi" w:cstheme="minorBidi"/>
          <w:color w:val="000000"/>
          <w:sz w:val="24"/>
          <w:szCs w:val="24"/>
          <w:lang w:val="en-ID"/>
        </w:rPr>
        <w:t>a. Disruption to Learning Time</w:t>
      </w:r>
    </w:p>
    <w:p w14:paraId="33421867" w14:textId="66837AB9" w:rsidR="0062173E" w:rsidRPr="0062173E" w:rsidRDefault="0062173E" w:rsidP="004651AC">
      <w:pPr>
        <w:spacing w:line="360" w:lineRule="auto"/>
        <w:ind w:firstLine="720"/>
        <w:jc w:val="both"/>
        <w:rPr>
          <w:rFonts w:asciiTheme="minorBidi" w:hAnsiTheme="minorBidi" w:cstheme="minorBidi"/>
          <w:color w:val="000000"/>
          <w:sz w:val="24"/>
          <w:szCs w:val="24"/>
          <w:lang w:val="en-ID"/>
        </w:rPr>
      </w:pPr>
      <w:r w:rsidRPr="0062173E">
        <w:rPr>
          <w:rFonts w:asciiTheme="minorBidi" w:hAnsiTheme="minorBidi" w:cstheme="minorBidi"/>
          <w:color w:val="000000"/>
          <w:sz w:val="24"/>
          <w:szCs w:val="24"/>
          <w:lang w:val="en-ID"/>
        </w:rPr>
        <w:t>Disruption to learning time is one of the most significant issues in the implementation of the Free Nutritious Meal Program (MBG) in schools from an educational management perspective. While the program is fundamentally designed to improve students’ concentration and health through the provision of nutritious meals, poor time management can instead disturb the rhythm of learning activities in schools.</w:t>
      </w:r>
    </w:p>
    <w:p w14:paraId="18042758" w14:textId="77777777" w:rsidR="0062173E" w:rsidRPr="0062173E" w:rsidRDefault="0062173E" w:rsidP="004651AC">
      <w:pPr>
        <w:spacing w:line="360" w:lineRule="auto"/>
        <w:ind w:firstLine="720"/>
        <w:jc w:val="both"/>
        <w:rPr>
          <w:rFonts w:asciiTheme="minorBidi" w:hAnsiTheme="minorBidi" w:cstheme="minorBidi"/>
          <w:color w:val="000000"/>
          <w:sz w:val="24"/>
          <w:szCs w:val="24"/>
          <w:lang w:val="en-ID"/>
        </w:rPr>
      </w:pPr>
      <w:r w:rsidRPr="0062173E">
        <w:rPr>
          <w:rFonts w:asciiTheme="minorBidi" w:hAnsiTheme="minorBidi" w:cstheme="minorBidi"/>
          <w:color w:val="000000"/>
          <w:sz w:val="24"/>
          <w:szCs w:val="24"/>
          <w:lang w:val="en-ID"/>
        </w:rPr>
        <w:t>The process of distributing and consuming meals also requires considerable preparation time. Schools without cafeterias or sufficient staff often use classrooms as dining areas, requiring extra time for cleaning before lessons resume. This process creates inefficiency in learning time and reduces both student and teacher focus (Tambunan et al., 2025).</w:t>
      </w:r>
    </w:p>
    <w:p w14:paraId="18C18BC9" w14:textId="77777777" w:rsidR="00C306B0" w:rsidRDefault="00526F51" w:rsidP="004651AC">
      <w:pPr>
        <w:spacing w:line="360" w:lineRule="auto"/>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b. Imbalance Between Educational and Administrative Functions</w:t>
      </w:r>
    </w:p>
    <w:p w14:paraId="6A1A9E9C" w14:textId="029A708F" w:rsidR="00526F51" w:rsidRPr="00526F51" w:rsidRDefault="00526F51" w:rsidP="004651AC">
      <w:pPr>
        <w:spacing w:line="360" w:lineRule="auto"/>
        <w:ind w:firstLine="720"/>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From a school management standpoint, the disruption of learning time indicates an imbalance between educational and administrative functions. Principals and teachers face a dilemma: on one hand, they must ensure that the MBG program runs smoothly</w:t>
      </w:r>
      <w:r w:rsidR="00F44A13">
        <w:rPr>
          <w:rFonts w:asciiTheme="minorBidi" w:hAnsiTheme="minorBidi" w:cstheme="minorBidi"/>
          <w:color w:val="000000"/>
          <w:sz w:val="24"/>
          <w:szCs w:val="24"/>
          <w:lang w:val="en-ID"/>
        </w:rPr>
        <w:t>,</w:t>
      </w:r>
      <w:r w:rsidRPr="00526F51">
        <w:rPr>
          <w:rFonts w:asciiTheme="minorBidi" w:hAnsiTheme="minorBidi" w:cstheme="minorBidi"/>
          <w:color w:val="000000"/>
          <w:sz w:val="24"/>
          <w:szCs w:val="24"/>
          <w:lang w:val="en-ID"/>
        </w:rPr>
        <w:t xml:space="preserve"> on the other, they must maintain optimal learning hours. Without effective coordination with food providers and local education offices, schools often become the most affected parties, as they must adjust academic rhythms to accommodate the technical schedule of food distribution.</w:t>
      </w:r>
    </w:p>
    <w:p w14:paraId="13BFB877" w14:textId="77777777" w:rsidR="00C306B0" w:rsidRDefault="00526F51" w:rsidP="004651AC">
      <w:pPr>
        <w:spacing w:line="360" w:lineRule="auto"/>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c. Cleanliness and Sanitation Issues in Schools</w:t>
      </w:r>
      <w:r w:rsidR="00C306B0">
        <w:rPr>
          <w:rFonts w:asciiTheme="minorBidi" w:hAnsiTheme="minorBidi" w:cstheme="minorBidi"/>
          <w:color w:val="000000"/>
          <w:sz w:val="24"/>
          <w:szCs w:val="24"/>
          <w:lang w:val="en-ID"/>
        </w:rPr>
        <w:t>.</w:t>
      </w:r>
    </w:p>
    <w:p w14:paraId="324032EE" w14:textId="3D1476E3" w:rsidR="00526F51" w:rsidRDefault="00526F51" w:rsidP="004651AC">
      <w:pPr>
        <w:spacing w:line="360" w:lineRule="auto"/>
        <w:ind w:firstLine="720"/>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 xml:space="preserve">Schools without adequate dining facilities, such as canteens or cafeterias, are compelled to use classrooms as dining areas. This situation raises hygiene problems, including leftover food, unpleasant </w:t>
      </w:r>
      <w:r w:rsidRPr="00526F51">
        <w:rPr>
          <w:rFonts w:asciiTheme="minorBidi" w:hAnsiTheme="minorBidi" w:cstheme="minorBidi"/>
          <w:noProof/>
          <w:color w:val="000000"/>
          <w:sz w:val="24"/>
          <w:szCs w:val="24"/>
          <w:lang w:val="en-ID"/>
        </w:rPr>
        <w:t>odors,</w:t>
      </w:r>
      <w:r w:rsidRPr="00526F51">
        <w:rPr>
          <w:rFonts w:asciiTheme="minorBidi" w:hAnsiTheme="minorBidi" w:cstheme="minorBidi"/>
          <w:color w:val="000000"/>
          <w:sz w:val="24"/>
          <w:szCs w:val="24"/>
          <w:lang w:val="en-ID"/>
        </w:rPr>
        <w:t xml:space="preserve"> and accumulated packaging waste. The lack of cleaning staff or proper waste disposal facilities leads to an unhygienic school environment. Such conditions may also trigger complaints from teachers and parents.</w:t>
      </w:r>
    </w:p>
    <w:p w14:paraId="07AF8BA1" w14:textId="77777777" w:rsidR="00C306B0" w:rsidRDefault="00526F51" w:rsidP="004651AC">
      <w:pPr>
        <w:spacing w:line="360" w:lineRule="auto"/>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d. Disruption to Learning Concentration</w:t>
      </w:r>
    </w:p>
    <w:p w14:paraId="576508D9" w14:textId="7EFAED07" w:rsidR="00526F51" w:rsidRPr="00526F51" w:rsidRDefault="00526F51" w:rsidP="004651AC">
      <w:pPr>
        <w:spacing w:line="360" w:lineRule="auto"/>
        <w:ind w:firstLine="720"/>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 xml:space="preserve">After mealtime, some students experience reduced concentration due to feeling full or lethargic. Moreover, when mealtime is not well scheduled and occurs during instructional hours, students often struggle to regain focus on learning activities. </w:t>
      </w:r>
    </w:p>
    <w:p w14:paraId="7B6D9782" w14:textId="77777777" w:rsidR="00C306B0" w:rsidRDefault="00526F51" w:rsidP="004651AC">
      <w:pPr>
        <w:spacing w:line="360" w:lineRule="auto"/>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lastRenderedPageBreak/>
        <w:t>e. Administrative Burden and Additional Workload for Teachers</w:t>
      </w:r>
      <w:r w:rsidR="00C306B0">
        <w:rPr>
          <w:rFonts w:asciiTheme="minorBidi" w:hAnsiTheme="minorBidi" w:cstheme="minorBidi"/>
          <w:color w:val="000000"/>
          <w:sz w:val="24"/>
          <w:szCs w:val="24"/>
          <w:lang w:val="en-ID"/>
        </w:rPr>
        <w:t>.</w:t>
      </w:r>
    </w:p>
    <w:p w14:paraId="67BF18E4" w14:textId="365A5262" w:rsidR="00526F51" w:rsidRPr="00526F51" w:rsidRDefault="00526F51" w:rsidP="004651AC">
      <w:pPr>
        <w:spacing w:line="360" w:lineRule="auto"/>
        <w:ind w:firstLine="720"/>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Teachers and principals often face additional administrative burdens in the implementation of MBG, such as recording recipient data, supervising meal distribution, documenting activities, and reporting to related authorities. These tasks fall outside their primary teaching responsibilities, reducing time for lesson preparation and student guidance. The increased administrative workload can lead to fatigue and decreased efficiency among educational staff.</w:t>
      </w:r>
    </w:p>
    <w:p w14:paraId="1A4E5AB1" w14:textId="77777777" w:rsidR="00C306B0" w:rsidRDefault="00526F51" w:rsidP="004651AC">
      <w:pPr>
        <w:spacing w:line="360" w:lineRule="auto"/>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f. Coordination Problems with Food Providers</w:t>
      </w:r>
      <w:r w:rsidR="00C306B0">
        <w:rPr>
          <w:rFonts w:asciiTheme="minorBidi" w:hAnsiTheme="minorBidi" w:cstheme="minorBidi"/>
          <w:color w:val="000000"/>
          <w:sz w:val="24"/>
          <w:szCs w:val="24"/>
          <w:lang w:val="en-ID"/>
        </w:rPr>
        <w:t>.</w:t>
      </w:r>
    </w:p>
    <w:p w14:paraId="69D3A3ED" w14:textId="420A938E" w:rsidR="00526F51" w:rsidRPr="00526F51" w:rsidRDefault="00526F51" w:rsidP="004651AC">
      <w:pPr>
        <w:spacing w:line="360" w:lineRule="auto"/>
        <w:ind w:firstLine="720"/>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Coordination issues between schools and food providers also frequently occur. Inaccurate meal quantities, delivery delays, or menus that do not meet nutritional standards can create tension between kitchen managers and schools. In such cases, schools are in a difficult position</w:t>
      </w:r>
      <w:r w:rsidR="00C306B0">
        <w:rPr>
          <w:rFonts w:asciiTheme="minorBidi" w:hAnsiTheme="minorBidi" w:cstheme="minorBidi"/>
          <w:color w:val="000000"/>
          <w:sz w:val="24"/>
          <w:szCs w:val="24"/>
          <w:lang w:val="en-ID"/>
        </w:rPr>
        <w:t xml:space="preserve"> </w:t>
      </w:r>
      <w:r w:rsidRPr="00526F51">
        <w:rPr>
          <w:rFonts w:asciiTheme="minorBidi" w:hAnsiTheme="minorBidi" w:cstheme="minorBidi"/>
          <w:color w:val="000000"/>
          <w:sz w:val="24"/>
          <w:szCs w:val="24"/>
          <w:lang w:val="en-ID"/>
        </w:rPr>
        <w:t>they have no direct control over food production or distribution but still face complaints from students and parents (Tambunan et al., 2025).</w:t>
      </w:r>
    </w:p>
    <w:p w14:paraId="6AC59C83" w14:textId="77777777" w:rsidR="00C306B0" w:rsidRDefault="00526F51" w:rsidP="004651AC">
      <w:pPr>
        <w:spacing w:line="360" w:lineRule="auto"/>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g. Facility and Space Limitations</w:t>
      </w:r>
      <w:r w:rsidR="00C306B0">
        <w:rPr>
          <w:rFonts w:asciiTheme="minorBidi" w:hAnsiTheme="minorBidi" w:cstheme="minorBidi"/>
          <w:color w:val="000000"/>
          <w:sz w:val="24"/>
          <w:szCs w:val="24"/>
          <w:lang w:val="en-ID"/>
        </w:rPr>
        <w:t>.</w:t>
      </w:r>
    </w:p>
    <w:p w14:paraId="1FF82B7F" w14:textId="3A122E19" w:rsidR="00526F51" w:rsidRPr="00526F51" w:rsidRDefault="00526F51" w:rsidP="004651AC">
      <w:pPr>
        <w:spacing w:line="360" w:lineRule="auto"/>
        <w:ind w:firstLine="720"/>
        <w:jc w:val="both"/>
        <w:rPr>
          <w:rFonts w:asciiTheme="minorBidi" w:hAnsiTheme="minorBidi" w:cstheme="minorBidi"/>
          <w:color w:val="000000"/>
          <w:sz w:val="24"/>
          <w:szCs w:val="24"/>
          <w:lang w:val="en-ID"/>
        </w:rPr>
      </w:pPr>
      <w:r w:rsidRPr="00526F51">
        <w:rPr>
          <w:rFonts w:asciiTheme="minorBidi" w:hAnsiTheme="minorBidi" w:cstheme="minorBidi"/>
          <w:color w:val="000000"/>
          <w:sz w:val="24"/>
          <w:szCs w:val="24"/>
          <w:lang w:val="en-ID"/>
        </w:rPr>
        <w:t>Schools with limited facilities often struggle to find appropriate spaces for communal meals. Classrooms or schoolyards are used as alternatives, which can disrupt other learning activities or cause large gatherings that are difficult to manage. The lack of utensils, tables, chairs, and handwashing stations further slows the implementation process.</w:t>
      </w:r>
    </w:p>
    <w:p w14:paraId="132C3EA9" w14:textId="7FEB47BE" w:rsidR="00070AD5" w:rsidRDefault="00070AD5" w:rsidP="004651AC">
      <w:pPr>
        <w:spacing w:line="360" w:lineRule="auto"/>
        <w:jc w:val="both"/>
        <w:rPr>
          <w:rStyle w:val="Strong"/>
          <w:rFonts w:asciiTheme="minorBidi" w:hAnsiTheme="minorBidi" w:cstheme="minorBidi"/>
          <w:b/>
          <w:bCs w:val="0"/>
          <w:sz w:val="28"/>
          <w:szCs w:val="28"/>
        </w:rPr>
      </w:pPr>
      <w:r w:rsidRPr="00070AD5">
        <w:rPr>
          <w:rStyle w:val="Strong"/>
          <w:rFonts w:asciiTheme="minorBidi" w:hAnsiTheme="minorBidi" w:cstheme="minorBidi"/>
          <w:b/>
          <w:bCs w:val="0"/>
          <w:sz w:val="28"/>
          <w:szCs w:val="28"/>
        </w:rPr>
        <w:t>4. Conclusion</w:t>
      </w:r>
    </w:p>
    <w:p w14:paraId="219E6DC2" w14:textId="77777777" w:rsidR="00072BEA" w:rsidRPr="00072BEA" w:rsidRDefault="00072BEA" w:rsidP="004651AC">
      <w:pPr>
        <w:spacing w:line="360" w:lineRule="auto"/>
        <w:ind w:firstLine="720"/>
        <w:jc w:val="both"/>
        <w:rPr>
          <w:rFonts w:asciiTheme="minorBidi" w:hAnsiTheme="minorBidi" w:cstheme="minorBidi"/>
          <w:snapToGrid/>
          <w:sz w:val="24"/>
          <w:szCs w:val="24"/>
          <w:lang w:val="en-ID" w:eastAsia="en-ID"/>
        </w:rPr>
      </w:pPr>
      <w:r w:rsidRPr="00072BEA">
        <w:rPr>
          <w:rFonts w:asciiTheme="minorBidi" w:hAnsiTheme="minorBidi" w:cstheme="minorBidi"/>
          <w:snapToGrid/>
          <w:sz w:val="24"/>
          <w:szCs w:val="24"/>
          <w:lang w:val="en-ID" w:eastAsia="en-ID"/>
        </w:rPr>
        <w:t xml:space="preserve">The Free Nutritious Meal Program (MBG) is a national strategic policy oriented toward improving the quality of human resources through the </w:t>
      </w:r>
      <w:r w:rsidRPr="00072BEA">
        <w:rPr>
          <w:rFonts w:asciiTheme="minorBidi" w:hAnsiTheme="minorBidi" w:cstheme="minorBidi"/>
          <w:noProof/>
          <w:snapToGrid/>
          <w:sz w:val="24"/>
          <w:szCs w:val="24"/>
          <w:lang w:val="en-ID" w:eastAsia="en-ID"/>
        </w:rPr>
        <w:t xml:space="preserve">fulfillment </w:t>
      </w:r>
      <w:r w:rsidRPr="00072BEA">
        <w:rPr>
          <w:rFonts w:asciiTheme="minorBidi" w:hAnsiTheme="minorBidi" w:cstheme="minorBidi"/>
          <w:snapToGrid/>
          <w:sz w:val="24"/>
          <w:szCs w:val="24"/>
          <w:lang w:val="en-ID" w:eastAsia="en-ID"/>
        </w:rPr>
        <w:t>of students’ nutritional needs in schools. The implementation of this program demonstrates a strong interconnection between social policy and educational management, in which schools serve as beneficiaries, supervisors, and field implementers responsible for ensuring that nutritious meals are properly and safely distributed to students.</w:t>
      </w:r>
    </w:p>
    <w:p w14:paraId="55E5761B" w14:textId="5D45DDAF" w:rsidR="00072BEA" w:rsidRPr="00072BEA" w:rsidRDefault="00072BEA" w:rsidP="004651AC">
      <w:pPr>
        <w:spacing w:line="360" w:lineRule="auto"/>
        <w:ind w:firstLine="360"/>
        <w:jc w:val="both"/>
        <w:rPr>
          <w:rFonts w:asciiTheme="minorBidi" w:hAnsiTheme="minorBidi" w:cstheme="minorBidi"/>
          <w:snapToGrid/>
          <w:sz w:val="24"/>
          <w:szCs w:val="24"/>
          <w:lang w:val="en-ID" w:eastAsia="en-ID"/>
        </w:rPr>
      </w:pPr>
      <w:r w:rsidRPr="00072BEA">
        <w:rPr>
          <w:rFonts w:asciiTheme="minorBidi" w:hAnsiTheme="minorBidi" w:cstheme="minorBidi"/>
          <w:snapToGrid/>
          <w:sz w:val="24"/>
          <w:szCs w:val="24"/>
          <w:lang w:val="en-ID" w:eastAsia="en-ID"/>
        </w:rPr>
        <w:t>In the context of managerial functions</w:t>
      </w:r>
      <w:r w:rsidR="006E4326">
        <w:rPr>
          <w:rFonts w:asciiTheme="minorBidi" w:hAnsiTheme="minorBidi" w:cstheme="minorBidi"/>
          <w:snapToGrid/>
          <w:sz w:val="24"/>
          <w:szCs w:val="24"/>
          <w:lang w:val="en-ID" w:eastAsia="en-ID"/>
        </w:rPr>
        <w:t xml:space="preserve"> </w:t>
      </w:r>
      <w:r w:rsidRPr="00072BEA">
        <w:rPr>
          <w:rFonts w:asciiTheme="minorBidi" w:hAnsiTheme="minorBidi" w:cstheme="minorBidi"/>
          <w:snapToGrid/>
          <w:sz w:val="24"/>
          <w:szCs w:val="24"/>
          <w:lang w:val="en-ID" w:eastAsia="en-ID"/>
        </w:rPr>
        <w:t>planning, organizing, implementing, and supervising</w:t>
      </w:r>
      <w:r w:rsidR="006E4326">
        <w:rPr>
          <w:rFonts w:asciiTheme="minorBidi" w:hAnsiTheme="minorBidi" w:cstheme="minorBidi"/>
          <w:snapToGrid/>
          <w:sz w:val="24"/>
          <w:szCs w:val="24"/>
          <w:lang w:val="en-ID" w:eastAsia="en-ID"/>
        </w:rPr>
        <w:t xml:space="preserve"> </w:t>
      </w:r>
      <w:r w:rsidRPr="00072BEA">
        <w:rPr>
          <w:rFonts w:asciiTheme="minorBidi" w:hAnsiTheme="minorBidi" w:cstheme="minorBidi"/>
          <w:snapToGrid/>
          <w:sz w:val="24"/>
          <w:szCs w:val="24"/>
          <w:lang w:val="en-ID" w:eastAsia="en-ID"/>
        </w:rPr>
        <w:t xml:space="preserve">the success of the MBG program largely depends on the synergy among school principals, teachers, local governments, and food providers. This condition highlights the need to strengthen cross-sectoral governance, enhance human resource training, and establish a more transparent and integrated monitoring system. With </w:t>
      </w:r>
      <w:r w:rsidRPr="00072BEA">
        <w:rPr>
          <w:rFonts w:asciiTheme="minorBidi" w:hAnsiTheme="minorBidi" w:cstheme="minorBidi"/>
          <w:snapToGrid/>
          <w:sz w:val="24"/>
          <w:szCs w:val="24"/>
          <w:lang w:val="en-ID" w:eastAsia="en-ID"/>
        </w:rPr>
        <w:lastRenderedPageBreak/>
        <w:t>adaptive, participatory, and accountable management, the MBG program functions not only as a means of fulfilling children’s nutritional needs but also as an instrument for strengthening a healthy, inclusive, and sustainable educational ecosystem for the nation’s future generations.</w:t>
      </w:r>
    </w:p>
    <w:bookmarkEnd w:id="0"/>
    <w:p w14:paraId="0000000A" w14:textId="33C60EDE" w:rsidR="002E6832" w:rsidRPr="00DC7B1D" w:rsidRDefault="006E4326" w:rsidP="00DC7B1D">
      <w:pPr>
        <w:pStyle w:val="NoSpacing"/>
        <w:rPr>
          <w:rFonts w:asciiTheme="minorBidi" w:eastAsia="Arial" w:hAnsiTheme="minorBidi" w:cstheme="minorBidi"/>
          <w:b/>
          <w:bCs/>
          <w:sz w:val="28"/>
          <w:szCs w:val="28"/>
        </w:rPr>
      </w:pPr>
      <w:r w:rsidRPr="00DC7B1D">
        <w:rPr>
          <w:rFonts w:asciiTheme="minorBidi" w:eastAsia="Arial" w:hAnsiTheme="minorBidi" w:cstheme="minorBidi"/>
          <w:b/>
          <w:bCs/>
          <w:sz w:val="28"/>
          <w:szCs w:val="28"/>
        </w:rPr>
        <w:t>5. Bibliography</w:t>
      </w:r>
    </w:p>
    <w:p w14:paraId="52678FA9" w14:textId="77777777" w:rsidR="005549D8" w:rsidRPr="00DF2388" w:rsidRDefault="005549D8" w:rsidP="005549D8">
      <w:pPr>
        <w:pStyle w:val="NoSpacing"/>
        <w:ind w:left="567" w:hanging="567"/>
        <w:jc w:val="both"/>
        <w:rPr>
          <w:rFonts w:asciiTheme="minorBidi" w:hAnsiTheme="minorBidi" w:cstheme="minorBidi"/>
          <w:sz w:val="24"/>
          <w:szCs w:val="24"/>
        </w:rPr>
      </w:pPr>
      <w:r w:rsidRPr="00DF2388">
        <w:rPr>
          <w:rFonts w:asciiTheme="minorBidi" w:hAnsiTheme="minorBidi" w:cstheme="minorBidi"/>
          <w:sz w:val="24"/>
          <w:szCs w:val="24"/>
        </w:rPr>
        <w:t>Ajeng Atikah Merlinda, Y. Y. (2025b). Analisis Program Makan Gratis Prabowo Subianto Terhadap Strategi Peningkatan Motivasi Belajar Siswa di Sekolah Tinjauan dari Perspektif Sosiologi Pendidikan. Journal Multidisiplinary Reasech and Development.</w:t>
      </w:r>
    </w:p>
    <w:p w14:paraId="69FF1AC3"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 xml:space="preserve">Aji, W. T. (2025). Makan Bergizi Gratis di Era Prabowo-Gibran : Solusi untuk Rakyat atau Beban Baru ? </w:t>
      </w:r>
      <w:r w:rsidRPr="00DF2388">
        <w:rPr>
          <w:rFonts w:asciiTheme="minorBidi" w:hAnsiTheme="minorBidi" w:cstheme="minorBidi"/>
          <w:i/>
          <w:iCs/>
          <w:noProof/>
          <w:sz w:val="24"/>
          <w:szCs w:val="24"/>
        </w:rPr>
        <w:t>NAAFI: JUrnal Ilmiah Mahasiswa</w:t>
      </w:r>
      <w:r w:rsidRPr="00DF2388">
        <w:rPr>
          <w:rFonts w:asciiTheme="minorBidi" w:hAnsiTheme="minorBidi" w:cstheme="minorBidi"/>
          <w:noProof/>
          <w:sz w:val="24"/>
          <w:szCs w:val="24"/>
        </w:rPr>
        <w:t xml:space="preserve">, </w:t>
      </w:r>
      <w:r w:rsidRPr="00DF2388">
        <w:rPr>
          <w:rFonts w:asciiTheme="minorBidi" w:hAnsiTheme="minorBidi" w:cstheme="minorBidi"/>
          <w:i/>
          <w:iCs/>
          <w:noProof/>
          <w:sz w:val="24"/>
          <w:szCs w:val="24"/>
        </w:rPr>
        <w:t>2</w:t>
      </w:r>
      <w:r w:rsidRPr="00DF2388">
        <w:rPr>
          <w:rFonts w:asciiTheme="minorBidi" w:hAnsiTheme="minorBidi" w:cstheme="minorBidi"/>
          <w:noProof/>
          <w:sz w:val="24"/>
          <w:szCs w:val="24"/>
        </w:rPr>
        <w:t xml:space="preserve">(2). </w:t>
      </w:r>
      <w:hyperlink r:id="rId9" w:history="1">
        <w:r w:rsidRPr="00DF2388">
          <w:rPr>
            <w:rStyle w:val="Hyperlink"/>
            <w:rFonts w:asciiTheme="minorBidi" w:hAnsiTheme="minorBidi" w:cstheme="minorBidi"/>
            <w:noProof/>
            <w:color w:val="auto"/>
            <w:sz w:val="24"/>
            <w:szCs w:val="24"/>
            <w:u w:val="none"/>
          </w:rPr>
          <w:t>https://doi.org/10.62387/naafijurnalilmiahmahasiswa.v2i2.134</w:t>
        </w:r>
      </w:hyperlink>
    </w:p>
    <w:p w14:paraId="7AB298E8"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sz w:val="24"/>
          <w:szCs w:val="24"/>
        </w:rPr>
        <w:t>Andin, A., Risti, D., Latifah, I., Panuntun, M., Nur, M., Selviani, R., &amp; Saptatiningsih,     R. I. (2025). Penerapan Nilai Pancasila Melalui Program Makan Bergizi Gratis. IJEDR: Indonesian Journal of Education and Development Research, 3(1).</w:t>
      </w:r>
      <w:r w:rsidRPr="00DF2388">
        <w:rPr>
          <w:rFonts w:asciiTheme="minorBidi" w:eastAsia="Arial" w:hAnsiTheme="minorBidi" w:cstheme="minorBidi"/>
          <w:sz w:val="24"/>
          <w:szCs w:val="24"/>
        </w:rPr>
        <w:fldChar w:fldCharType="begin" w:fldLock="1"/>
      </w:r>
      <w:r w:rsidRPr="00DF2388">
        <w:rPr>
          <w:rFonts w:asciiTheme="minorBidi" w:eastAsia="Arial" w:hAnsiTheme="minorBidi" w:cstheme="minorBidi"/>
          <w:sz w:val="24"/>
          <w:szCs w:val="24"/>
        </w:rPr>
        <w:instrText xml:space="preserve">ADDIN Mendeley Bibliography CSL_BIBLIOGRAPHY </w:instrText>
      </w:r>
      <w:r w:rsidRPr="00DF2388">
        <w:rPr>
          <w:rFonts w:asciiTheme="minorBidi" w:eastAsia="Arial" w:hAnsiTheme="minorBidi" w:cstheme="minorBidi"/>
          <w:sz w:val="24"/>
          <w:szCs w:val="24"/>
        </w:rPr>
        <w:fldChar w:fldCharType="separate"/>
      </w:r>
    </w:p>
    <w:p w14:paraId="30A0F5F7"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Indonesia, P. R. Peraturan Presiden Republik Indonesia Nomor 83 Tahun 2024 Tentang Badan Gizi Nasional (2024).</w:t>
      </w:r>
    </w:p>
    <w:p w14:paraId="2A08DDF9"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 xml:space="preserve">Kiftiyah, A., Palestina, F. A., Abshar, F. U., &amp; Rofiah, K. (2025). PANCASILA : Jurnal Keindonesiaan. </w:t>
      </w:r>
      <w:r w:rsidRPr="00DF2388">
        <w:rPr>
          <w:rFonts w:asciiTheme="minorBidi" w:hAnsiTheme="minorBidi" w:cstheme="minorBidi"/>
          <w:i/>
          <w:iCs/>
          <w:noProof/>
          <w:sz w:val="24"/>
          <w:szCs w:val="24"/>
        </w:rPr>
        <w:t>Pancasila: Jurnal Keindonesiaan</w:t>
      </w:r>
      <w:r w:rsidRPr="00DF2388">
        <w:rPr>
          <w:rFonts w:asciiTheme="minorBidi" w:hAnsiTheme="minorBidi" w:cstheme="minorBidi"/>
          <w:noProof/>
          <w:sz w:val="24"/>
          <w:szCs w:val="24"/>
        </w:rPr>
        <w:t xml:space="preserve">, </w:t>
      </w:r>
      <w:r w:rsidRPr="00DF2388">
        <w:rPr>
          <w:rFonts w:asciiTheme="minorBidi" w:hAnsiTheme="minorBidi" w:cstheme="minorBidi"/>
          <w:i/>
          <w:iCs/>
          <w:noProof/>
          <w:sz w:val="24"/>
          <w:szCs w:val="24"/>
        </w:rPr>
        <w:t>05</w:t>
      </w:r>
      <w:r w:rsidRPr="00DF2388">
        <w:rPr>
          <w:rFonts w:asciiTheme="minorBidi" w:hAnsiTheme="minorBidi" w:cstheme="minorBidi"/>
          <w:noProof/>
          <w:sz w:val="24"/>
          <w:szCs w:val="24"/>
        </w:rPr>
        <w:t>(1).</w:t>
      </w:r>
    </w:p>
    <w:p w14:paraId="313859BF"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 xml:space="preserve">Kinanthi, T. K., Wardani, D. K., Sarie, A. C., &amp; Marini, A. (2024). Meningkatkan Efektivitas Manajemen Sekolah dalam Penerapan Pendidikan Inklusif di Sekolah Dasar. </w:t>
      </w:r>
      <w:r w:rsidRPr="00DF2388">
        <w:rPr>
          <w:rFonts w:asciiTheme="minorBidi" w:hAnsiTheme="minorBidi" w:cstheme="minorBidi"/>
          <w:i/>
          <w:iCs/>
          <w:noProof/>
          <w:sz w:val="24"/>
          <w:szCs w:val="24"/>
        </w:rPr>
        <w:t>Jurnal Pendidikan Guru Sekolah Dasar</w:t>
      </w:r>
      <w:r w:rsidRPr="00DF2388">
        <w:rPr>
          <w:rFonts w:asciiTheme="minorBidi" w:hAnsiTheme="minorBidi" w:cstheme="minorBidi"/>
          <w:noProof/>
          <w:sz w:val="24"/>
          <w:szCs w:val="24"/>
        </w:rPr>
        <w:t xml:space="preserve">, </w:t>
      </w:r>
      <w:r w:rsidRPr="00DF2388">
        <w:rPr>
          <w:rFonts w:asciiTheme="minorBidi" w:hAnsiTheme="minorBidi" w:cstheme="minorBidi"/>
          <w:i/>
          <w:iCs/>
          <w:noProof/>
          <w:sz w:val="24"/>
          <w:szCs w:val="24"/>
        </w:rPr>
        <w:t>1</w:t>
      </w:r>
      <w:r w:rsidRPr="00DF2388">
        <w:rPr>
          <w:rFonts w:asciiTheme="minorBidi" w:hAnsiTheme="minorBidi" w:cstheme="minorBidi"/>
          <w:noProof/>
          <w:sz w:val="24"/>
          <w:szCs w:val="24"/>
        </w:rPr>
        <w:t>(3), 1–9.</w:t>
      </w:r>
    </w:p>
    <w:p w14:paraId="59D7C861"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 xml:space="preserve">Merlinda, A. A., &amp; Yusuf, Y. (2025). Analisis Program Makan Gratis Prabowo Subianto Terhadap Strategi Peningkatan Motivasi Belajar Siswa di Sekolah Tinjauan dari Perspektif Sosiologi Pendidikan. </w:t>
      </w:r>
      <w:r w:rsidRPr="00DF2388">
        <w:rPr>
          <w:rFonts w:asciiTheme="minorBidi" w:hAnsiTheme="minorBidi" w:cstheme="minorBidi"/>
          <w:i/>
          <w:iCs/>
          <w:noProof/>
          <w:sz w:val="24"/>
          <w:szCs w:val="24"/>
        </w:rPr>
        <w:t>Ranah Research: Journal of Multidisiplinary Research and Development</w:t>
      </w:r>
      <w:r w:rsidRPr="00DF2388">
        <w:rPr>
          <w:rFonts w:asciiTheme="minorBidi" w:hAnsiTheme="minorBidi" w:cstheme="minorBidi"/>
          <w:noProof/>
          <w:sz w:val="24"/>
          <w:szCs w:val="24"/>
        </w:rPr>
        <w:t xml:space="preserve">, </w:t>
      </w:r>
      <w:r w:rsidRPr="00DF2388">
        <w:rPr>
          <w:rFonts w:asciiTheme="minorBidi" w:hAnsiTheme="minorBidi" w:cstheme="minorBidi"/>
          <w:i/>
          <w:iCs/>
          <w:noProof/>
          <w:sz w:val="24"/>
          <w:szCs w:val="24"/>
        </w:rPr>
        <w:t>7</w:t>
      </w:r>
      <w:r w:rsidRPr="00DF2388">
        <w:rPr>
          <w:rFonts w:asciiTheme="minorBidi" w:hAnsiTheme="minorBidi" w:cstheme="minorBidi"/>
          <w:noProof/>
          <w:sz w:val="24"/>
          <w:szCs w:val="24"/>
        </w:rPr>
        <w:t>(2), 1364–1373.</w:t>
      </w:r>
    </w:p>
    <w:p w14:paraId="462F22D4"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 xml:space="preserve">Qomarullah, R., Suratni, S, L. W., &amp; Sawir, M. (2025). DAMPAK JANGKA PANJANG Dampak Jangka Panjang Program Makan Bergizi Gratis Terhadap Kesehatan Dan Keberlanjutan Pendidikan. </w:t>
      </w:r>
      <w:r w:rsidRPr="00DF2388">
        <w:rPr>
          <w:rFonts w:asciiTheme="minorBidi" w:hAnsiTheme="minorBidi" w:cstheme="minorBidi"/>
          <w:i/>
          <w:iCs/>
          <w:noProof/>
          <w:sz w:val="24"/>
          <w:szCs w:val="24"/>
        </w:rPr>
        <w:t>Indonesia Journal of Inteleectual Publication</w:t>
      </w:r>
      <w:r w:rsidRPr="00DF2388">
        <w:rPr>
          <w:rFonts w:asciiTheme="minorBidi" w:hAnsiTheme="minorBidi" w:cstheme="minorBidi"/>
          <w:noProof/>
          <w:sz w:val="24"/>
          <w:szCs w:val="24"/>
        </w:rPr>
        <w:t xml:space="preserve">, </w:t>
      </w:r>
      <w:r w:rsidRPr="00DF2388">
        <w:rPr>
          <w:rFonts w:asciiTheme="minorBidi" w:hAnsiTheme="minorBidi" w:cstheme="minorBidi"/>
          <w:i/>
          <w:iCs/>
          <w:noProof/>
          <w:sz w:val="24"/>
          <w:szCs w:val="24"/>
        </w:rPr>
        <w:t>5</w:t>
      </w:r>
      <w:r w:rsidRPr="00DF2388">
        <w:rPr>
          <w:rFonts w:asciiTheme="minorBidi" w:hAnsiTheme="minorBidi" w:cstheme="minorBidi"/>
          <w:noProof/>
          <w:sz w:val="24"/>
          <w:szCs w:val="24"/>
        </w:rPr>
        <w:t>(2), 130–137.</w:t>
      </w:r>
    </w:p>
    <w:p w14:paraId="195806F2" w14:textId="77777777" w:rsidR="005549D8" w:rsidRPr="00DF2388" w:rsidRDefault="005549D8" w:rsidP="005549D8">
      <w:pPr>
        <w:pStyle w:val="NoSpacing"/>
        <w:ind w:left="567" w:hanging="567"/>
        <w:jc w:val="both"/>
        <w:rPr>
          <w:rFonts w:asciiTheme="minorBidi" w:hAnsiTheme="minorBidi" w:cstheme="minorBidi"/>
          <w:noProof/>
          <w:sz w:val="24"/>
          <w:szCs w:val="24"/>
        </w:rPr>
      </w:pPr>
      <w:r w:rsidRPr="00DF2388">
        <w:rPr>
          <w:rFonts w:asciiTheme="minorBidi" w:hAnsiTheme="minorBidi" w:cstheme="minorBidi"/>
          <w:noProof/>
          <w:sz w:val="24"/>
          <w:szCs w:val="24"/>
        </w:rPr>
        <w:t xml:space="preserve">Tambunan, K. A. H., Nababan, R., Siagian, R. A., Naiborhu, R., Harianti, S., &amp; Jamaludin, J. (2025). Tinjauan Kritis Tentang Program Makan Bergizi Gratis Terhadap Produktivitas Belajar Siswa. </w:t>
      </w:r>
      <w:r w:rsidRPr="00DF2388">
        <w:rPr>
          <w:rFonts w:asciiTheme="minorBidi" w:hAnsiTheme="minorBidi" w:cstheme="minorBidi"/>
          <w:i/>
          <w:iCs/>
          <w:noProof/>
          <w:sz w:val="24"/>
          <w:szCs w:val="24"/>
        </w:rPr>
        <w:t>Katalis Pendidikan:Jurnal Ilmu Pendidikan Dan Matematika</w:t>
      </w:r>
      <w:r w:rsidRPr="00DF2388">
        <w:rPr>
          <w:rFonts w:asciiTheme="minorBidi" w:hAnsiTheme="minorBidi" w:cstheme="minorBidi"/>
          <w:noProof/>
          <w:sz w:val="24"/>
          <w:szCs w:val="24"/>
        </w:rPr>
        <w:t xml:space="preserve">, </w:t>
      </w:r>
      <w:r w:rsidRPr="00DF2388">
        <w:rPr>
          <w:rFonts w:asciiTheme="minorBidi" w:hAnsiTheme="minorBidi" w:cstheme="minorBidi"/>
          <w:i/>
          <w:iCs/>
          <w:noProof/>
          <w:sz w:val="24"/>
          <w:szCs w:val="24"/>
        </w:rPr>
        <w:t>2</w:t>
      </w:r>
      <w:r w:rsidRPr="00DF2388">
        <w:rPr>
          <w:rFonts w:asciiTheme="minorBidi" w:hAnsiTheme="minorBidi" w:cstheme="minorBidi"/>
          <w:noProof/>
          <w:sz w:val="24"/>
          <w:szCs w:val="24"/>
        </w:rPr>
        <w:t>(2), 21–31.</w:t>
      </w:r>
    </w:p>
    <w:p w14:paraId="610F22EA" w14:textId="77777777" w:rsidR="005549D8" w:rsidRPr="00DF2388" w:rsidRDefault="005549D8" w:rsidP="005549D8">
      <w:pPr>
        <w:pStyle w:val="NoSpacing"/>
        <w:jc w:val="both"/>
        <w:rPr>
          <w:rFonts w:asciiTheme="minorBidi" w:eastAsia="Arial" w:hAnsiTheme="minorBidi" w:cstheme="minorBidi"/>
          <w:sz w:val="24"/>
          <w:szCs w:val="24"/>
        </w:rPr>
      </w:pPr>
      <w:r w:rsidRPr="00DF2388">
        <w:rPr>
          <w:rFonts w:asciiTheme="minorBidi" w:eastAsia="Arial" w:hAnsiTheme="minorBidi" w:cstheme="minorBidi"/>
          <w:sz w:val="24"/>
          <w:szCs w:val="24"/>
        </w:rPr>
        <w:fldChar w:fldCharType="end"/>
      </w:r>
    </w:p>
    <w:p w14:paraId="23D66E88" w14:textId="77777777" w:rsidR="004651AC" w:rsidRDefault="004651AC">
      <w:pPr>
        <w:spacing w:after="160" w:line="720" w:lineRule="auto"/>
        <w:rPr>
          <w:rFonts w:ascii="Arial" w:eastAsia="Arial" w:hAnsi="Arial" w:cs="Arial"/>
          <w:sz w:val="20"/>
          <w:szCs w:val="20"/>
        </w:rPr>
      </w:pPr>
    </w:p>
    <w:p w14:paraId="00000014" w14:textId="77777777" w:rsidR="002E6832" w:rsidRDefault="002E6832">
      <w:pPr>
        <w:tabs>
          <w:tab w:val="left" w:pos="5382"/>
        </w:tabs>
        <w:rPr>
          <w:rFonts w:ascii="Calibri" w:eastAsia="Calibri" w:hAnsi="Calibri" w:cs="Calibri"/>
        </w:rPr>
      </w:pPr>
    </w:p>
    <w:sectPr w:rsidR="002E6832">
      <w:footerReference w:type="default" r:id="rId10"/>
      <w:headerReference w:type="first" r:id="rId11"/>
      <w:pgSz w:w="11907" w:h="16840"/>
      <w:pgMar w:top="2268" w:right="1418" w:bottom="709" w:left="1418" w:header="720" w:footer="3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FB4F" w14:textId="77777777" w:rsidR="009741C8" w:rsidRDefault="009741C8">
      <w:pPr>
        <w:spacing w:after="0"/>
      </w:pPr>
      <w:r>
        <w:separator/>
      </w:r>
    </w:p>
  </w:endnote>
  <w:endnote w:type="continuationSeparator" w:id="0">
    <w:p w14:paraId="0C14534B" w14:textId="77777777" w:rsidR="009741C8" w:rsidRDefault="009741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w:altName w:val="Calibri"/>
    <w:charset w:val="00"/>
    <w:family w:val="auto"/>
    <w:pitch w:val="default"/>
  </w:font>
  <w:font w:name="TheSans B6 SemiBold">
    <w:altName w:val="Cambria"/>
    <w:panose1 w:val="00000000000000000000"/>
    <w:charset w:val="00"/>
    <w:family w:val="roman"/>
    <w:notTrueType/>
    <w:pitch w:val="default"/>
  </w:font>
  <w:font w:name="TheSans B4 Semi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h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uisse Int'l Bol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utiger Next Com">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657D0502" w:rsidR="002E6832"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r>
      <w:rPr>
        <w:rFonts w:ascii="Calibri" w:eastAsia="Calibri" w:hAnsi="Calibri" w:cs="Calibri"/>
        <w:color w:val="000000"/>
        <w:sz w:val="16"/>
        <w:szCs w:val="16"/>
      </w:rPr>
      <w:t xml:space="preserve">Page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PAGE</w:instrText>
    </w:r>
    <w:r>
      <w:rPr>
        <w:rFonts w:ascii="Calibri" w:eastAsia="Calibri" w:hAnsi="Calibri" w:cs="Calibri"/>
        <w:b/>
        <w:color w:val="000000"/>
        <w:sz w:val="24"/>
        <w:szCs w:val="24"/>
      </w:rPr>
      <w:fldChar w:fldCharType="separate"/>
    </w:r>
    <w:r w:rsidR="00AB4D74">
      <w:rPr>
        <w:rFonts w:ascii="Calibri" w:eastAsia="Calibri" w:hAnsi="Calibri" w:cs="Calibri"/>
        <w:b/>
        <w:noProof/>
        <w:color w:val="000000"/>
        <w:sz w:val="24"/>
        <w:szCs w:val="24"/>
      </w:rPr>
      <w:t>2</w:t>
    </w:r>
    <w:r>
      <w:rPr>
        <w:rFonts w:ascii="Calibri" w:eastAsia="Calibri" w:hAnsi="Calibri" w:cs="Calibri"/>
        <w:b/>
        <w:color w:val="000000"/>
        <w:sz w:val="24"/>
        <w:szCs w:val="24"/>
      </w:rPr>
      <w:fldChar w:fldCharType="end"/>
    </w:r>
    <w:r>
      <w:rPr>
        <w:rFonts w:ascii="Calibri" w:eastAsia="Calibri" w:hAnsi="Calibri" w:cs="Calibri"/>
        <w:color w:val="000000"/>
        <w:sz w:val="16"/>
        <w:szCs w:val="16"/>
      </w:rPr>
      <w:t xml:space="preserve"> of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NUMPAGES</w:instrText>
    </w:r>
    <w:r>
      <w:rPr>
        <w:rFonts w:ascii="Calibri" w:eastAsia="Calibri" w:hAnsi="Calibri" w:cs="Calibri"/>
        <w:b/>
        <w:color w:val="000000"/>
        <w:sz w:val="24"/>
        <w:szCs w:val="24"/>
      </w:rPr>
      <w:fldChar w:fldCharType="separate"/>
    </w:r>
    <w:r w:rsidR="00AB4D74">
      <w:rPr>
        <w:rFonts w:ascii="Calibri" w:eastAsia="Calibri" w:hAnsi="Calibri" w:cs="Calibri"/>
        <w:b/>
        <w:noProof/>
        <w:color w:val="000000"/>
        <w:sz w:val="24"/>
        <w:szCs w:val="24"/>
      </w:rPr>
      <w:t>2</w:t>
    </w:r>
    <w:r>
      <w:rPr>
        <w:rFonts w:ascii="Calibri" w:eastAsia="Calibri" w:hAnsi="Calibri" w:cs="Calibri"/>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ED97" w14:textId="77777777" w:rsidR="009741C8" w:rsidRDefault="009741C8">
      <w:pPr>
        <w:spacing w:after="0"/>
      </w:pPr>
      <w:r>
        <w:separator/>
      </w:r>
    </w:p>
  </w:footnote>
  <w:footnote w:type="continuationSeparator" w:id="0">
    <w:p w14:paraId="080B8705" w14:textId="77777777" w:rsidR="009741C8" w:rsidRDefault="009741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2E6832" w:rsidRDefault="002E6832">
    <w:pPr>
      <w:pBdr>
        <w:top w:val="nil"/>
        <w:left w:val="nil"/>
        <w:bottom w:val="nil"/>
        <w:right w:val="nil"/>
        <w:between w:val="nil"/>
      </w:pBdr>
      <w:tabs>
        <w:tab w:val="center" w:pos="4536"/>
        <w:tab w:val="right" w:pos="9072"/>
      </w:tabs>
      <w:jc w:val="center"/>
      <w:rPr>
        <w:rFonts w:eastAsia="Suisse Int'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75D3E"/>
    <w:multiLevelType w:val="multilevel"/>
    <w:tmpl w:val="CE8A1466"/>
    <w:lvl w:ilvl="0">
      <w:start w:val="1"/>
      <w:numFmt w:val="decimal"/>
      <w:pStyle w:val="berschrift"/>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7E4723"/>
    <w:multiLevelType w:val="multilevel"/>
    <w:tmpl w:val="BAF6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17DB8"/>
    <w:multiLevelType w:val="hybridMultilevel"/>
    <w:tmpl w:val="E8CEBFF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D732E7"/>
    <w:multiLevelType w:val="hybridMultilevel"/>
    <w:tmpl w:val="C1E068D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852459"/>
    <w:multiLevelType w:val="multilevel"/>
    <w:tmpl w:val="3F6E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E6BE7"/>
    <w:multiLevelType w:val="multilevel"/>
    <w:tmpl w:val="A0905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4354060">
    <w:abstractNumId w:val="5"/>
  </w:num>
  <w:num w:numId="2" w16cid:durableId="2112314256">
    <w:abstractNumId w:val="0"/>
  </w:num>
  <w:num w:numId="3" w16cid:durableId="1269697921">
    <w:abstractNumId w:val="1"/>
  </w:num>
  <w:num w:numId="4" w16cid:durableId="1495147984">
    <w:abstractNumId w:val="4"/>
  </w:num>
  <w:num w:numId="5" w16cid:durableId="1804536447">
    <w:abstractNumId w:val="3"/>
  </w:num>
  <w:num w:numId="6" w16cid:durableId="718826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32"/>
    <w:rsid w:val="00070AD5"/>
    <w:rsid w:val="00072BEA"/>
    <w:rsid w:val="00161062"/>
    <w:rsid w:val="0018149F"/>
    <w:rsid w:val="001B4B74"/>
    <w:rsid w:val="001E4014"/>
    <w:rsid w:val="002403A2"/>
    <w:rsid w:val="00241DEB"/>
    <w:rsid w:val="002E6832"/>
    <w:rsid w:val="00330224"/>
    <w:rsid w:val="0037770F"/>
    <w:rsid w:val="003B18C3"/>
    <w:rsid w:val="003B5C29"/>
    <w:rsid w:val="004651AC"/>
    <w:rsid w:val="0049220D"/>
    <w:rsid w:val="004C4518"/>
    <w:rsid w:val="00526F51"/>
    <w:rsid w:val="00532030"/>
    <w:rsid w:val="005549D8"/>
    <w:rsid w:val="0062173E"/>
    <w:rsid w:val="006E4326"/>
    <w:rsid w:val="00710FAF"/>
    <w:rsid w:val="007D57ED"/>
    <w:rsid w:val="007F09FF"/>
    <w:rsid w:val="009741C8"/>
    <w:rsid w:val="00985F43"/>
    <w:rsid w:val="009C1315"/>
    <w:rsid w:val="009C3C3B"/>
    <w:rsid w:val="00A35633"/>
    <w:rsid w:val="00AB4D74"/>
    <w:rsid w:val="00B22BE6"/>
    <w:rsid w:val="00B67ED7"/>
    <w:rsid w:val="00BB0BCD"/>
    <w:rsid w:val="00BB524A"/>
    <w:rsid w:val="00BC09A1"/>
    <w:rsid w:val="00BD0A45"/>
    <w:rsid w:val="00C306B0"/>
    <w:rsid w:val="00CF5DDE"/>
    <w:rsid w:val="00D73873"/>
    <w:rsid w:val="00D86BB5"/>
    <w:rsid w:val="00D9192A"/>
    <w:rsid w:val="00DC2ADE"/>
    <w:rsid w:val="00DC7B1D"/>
    <w:rsid w:val="00DD05F8"/>
    <w:rsid w:val="00E05530"/>
    <w:rsid w:val="00E75162"/>
    <w:rsid w:val="00E91F6F"/>
    <w:rsid w:val="00EC2BE9"/>
    <w:rsid w:val="00EC6178"/>
    <w:rsid w:val="00ED6C7B"/>
    <w:rsid w:val="00F44A13"/>
    <w:rsid w:val="00F625C0"/>
    <w:rsid w:val="00FD54D0"/>
    <w:rsid w:val="00FF334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F000B"/>
  <w15:docId w15:val="{49066A92-C2EF-44FD-A391-4428A8D7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uisse Int'l" w:eastAsia="Suisse Int'l" w:hAnsi="Suisse Int'l" w:cs="Suisse Int'l"/>
        <w:sz w:val="22"/>
        <w:szCs w:val="22"/>
        <w:lang w:val="en-GB" w:eastAsia="en-ID"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71D"/>
    <w:rPr>
      <w:rFonts w:eastAsia="Times New Roman"/>
      <w:snapToGrid w:val="0"/>
      <w:lang w:val="de-DE" w:eastAsia="de-DE"/>
    </w:rPr>
  </w:style>
  <w:style w:type="paragraph" w:styleId="Heading1">
    <w:name w:val="heading 1"/>
    <w:basedOn w:val="Normal"/>
    <w:next w:val="Normal"/>
    <w:link w:val="Heading1Char"/>
    <w:uiPriority w:val="9"/>
    <w:qFormat/>
    <w:rsid w:val="009E35CC"/>
    <w:pPr>
      <w:keepNext/>
      <w:keepLines/>
      <w:spacing w:before="360" w:after="240"/>
      <w:outlineLvl w:val="0"/>
    </w:pPr>
    <w:rPr>
      <w:b/>
      <w:bCs/>
      <w:color w:val="365F91"/>
      <w:sz w:val="24"/>
      <w:szCs w:val="28"/>
    </w:rPr>
  </w:style>
  <w:style w:type="paragraph" w:styleId="Heading2">
    <w:name w:val="heading 2"/>
    <w:basedOn w:val="Normal"/>
    <w:next w:val="Normal"/>
    <w:link w:val="Heading2Char"/>
    <w:uiPriority w:val="9"/>
    <w:semiHidden/>
    <w:unhideWhenUsed/>
    <w:qFormat/>
    <w:rsid w:val="009E35CC"/>
    <w:pPr>
      <w:keepNext/>
      <w:keepLines/>
      <w:spacing w:before="200"/>
      <w:outlineLvl w:val="1"/>
    </w:pPr>
    <w:rPr>
      <w:b/>
      <w:bCs/>
      <w:color w:val="4F81BD"/>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MEMO-TITLE">
    <w:name w:val="MEMO-TITLE"/>
    <w:rsid w:val="00501A85"/>
    <w:pPr>
      <w:tabs>
        <w:tab w:val="left" w:pos="1134"/>
        <w:tab w:val="left" w:pos="4253"/>
        <w:tab w:val="right" w:pos="9071"/>
      </w:tabs>
    </w:pPr>
    <w:rPr>
      <w:rFonts w:ascii="TheSans B6 SemiBold" w:eastAsia="Times New Roman" w:hAnsi="TheSans B6 SemiBold"/>
      <w:snapToGrid w:val="0"/>
      <w:sz w:val="32"/>
      <w:lang w:val="en-US" w:eastAsia="de-DE"/>
    </w:rPr>
  </w:style>
  <w:style w:type="paragraph" w:styleId="Header">
    <w:name w:val="header"/>
    <w:basedOn w:val="Normal"/>
    <w:link w:val="HeaderChar"/>
    <w:rsid w:val="00501A85"/>
    <w:pPr>
      <w:tabs>
        <w:tab w:val="center" w:pos="4536"/>
        <w:tab w:val="right" w:pos="9072"/>
      </w:tabs>
    </w:pPr>
    <w:rPr>
      <w:sz w:val="16"/>
    </w:rPr>
  </w:style>
  <w:style w:type="character" w:customStyle="1" w:styleId="HeaderChar">
    <w:name w:val="Header Char"/>
    <w:link w:val="Header"/>
    <w:rsid w:val="00501A85"/>
    <w:rPr>
      <w:rFonts w:ascii="TheSans B4 SemiLight" w:eastAsia="Times New Roman" w:hAnsi="TheSans B4 SemiLight" w:cs="Times New Roman"/>
      <w:snapToGrid w:val="0"/>
      <w:sz w:val="16"/>
      <w:lang w:val="de-DE" w:eastAsia="de-DE"/>
    </w:rPr>
  </w:style>
  <w:style w:type="paragraph" w:styleId="Footer">
    <w:name w:val="footer"/>
    <w:basedOn w:val="Normal"/>
    <w:link w:val="FooterChar"/>
    <w:uiPriority w:val="99"/>
    <w:rsid w:val="00501A85"/>
    <w:pPr>
      <w:tabs>
        <w:tab w:val="center" w:pos="4536"/>
        <w:tab w:val="right" w:pos="9072"/>
      </w:tabs>
    </w:pPr>
    <w:rPr>
      <w:sz w:val="16"/>
    </w:rPr>
  </w:style>
  <w:style w:type="character" w:customStyle="1" w:styleId="FooterChar">
    <w:name w:val="Footer Char"/>
    <w:link w:val="Footer"/>
    <w:uiPriority w:val="99"/>
    <w:rsid w:val="00501A85"/>
    <w:rPr>
      <w:rFonts w:ascii="TheSans B4 SemiLight" w:eastAsia="Times New Roman" w:hAnsi="TheSans B4 SemiLight" w:cs="Times New Roman"/>
      <w:snapToGrid w:val="0"/>
      <w:sz w:val="16"/>
      <w:lang w:val="de-DE" w:eastAsia="de-DE"/>
    </w:rPr>
  </w:style>
  <w:style w:type="paragraph" w:styleId="BalloonText">
    <w:name w:val="Balloon Text"/>
    <w:basedOn w:val="Normal"/>
    <w:link w:val="BalloonTextChar"/>
    <w:uiPriority w:val="99"/>
    <w:semiHidden/>
    <w:unhideWhenUsed/>
    <w:rsid w:val="00501A85"/>
    <w:rPr>
      <w:rFonts w:ascii="Tahoma" w:hAnsi="Tahoma" w:cs="Tahoma"/>
      <w:sz w:val="16"/>
      <w:szCs w:val="16"/>
    </w:rPr>
  </w:style>
  <w:style w:type="character" w:customStyle="1" w:styleId="BalloonTextChar">
    <w:name w:val="Balloon Text Char"/>
    <w:link w:val="BalloonText"/>
    <w:uiPriority w:val="99"/>
    <w:semiHidden/>
    <w:rsid w:val="00501A85"/>
    <w:rPr>
      <w:rFonts w:ascii="Tahoma" w:eastAsia="Times New Roman" w:hAnsi="Tahoma" w:cs="Tahoma"/>
      <w:snapToGrid w:val="0"/>
      <w:sz w:val="16"/>
      <w:szCs w:val="16"/>
      <w:lang w:val="de-DE" w:eastAsia="de-DE"/>
    </w:rPr>
  </w:style>
  <w:style w:type="character" w:customStyle="1" w:styleId="Heading1Char">
    <w:name w:val="Heading 1 Char"/>
    <w:link w:val="Heading1"/>
    <w:uiPriority w:val="9"/>
    <w:rsid w:val="009E35CC"/>
    <w:rPr>
      <w:rFonts w:ascii="TheSans" w:eastAsia="Times New Roman" w:hAnsi="TheSans" w:cs="Times New Roman"/>
      <w:b/>
      <w:bCs/>
      <w:snapToGrid w:val="0"/>
      <w:color w:val="365F91"/>
      <w:sz w:val="24"/>
      <w:szCs w:val="28"/>
      <w:lang w:val="de-DE" w:eastAsia="de-DE"/>
    </w:rPr>
  </w:style>
  <w:style w:type="character" w:customStyle="1" w:styleId="Heading2Char">
    <w:name w:val="Heading 2 Char"/>
    <w:link w:val="Heading2"/>
    <w:uiPriority w:val="9"/>
    <w:rsid w:val="009E35CC"/>
    <w:rPr>
      <w:rFonts w:ascii="TheSans" w:eastAsia="Times New Roman" w:hAnsi="TheSans" w:cs="Times New Roman"/>
      <w:b/>
      <w:bCs/>
      <w:snapToGrid w:val="0"/>
      <w:color w:val="4F81BD"/>
      <w:szCs w:val="26"/>
      <w:lang w:val="de-DE" w:eastAsia="de-DE"/>
    </w:rPr>
  </w:style>
  <w:style w:type="character" w:styleId="Strong">
    <w:name w:val="Strong"/>
    <w:uiPriority w:val="22"/>
    <w:qFormat/>
    <w:rsid w:val="0041793F"/>
    <w:rPr>
      <w:rFonts w:ascii="TheSans B6 SemiBold" w:hAnsi="TheSans B6 SemiBold"/>
      <w:bCs/>
      <w:color w:val="000000"/>
      <w:sz w:val="22"/>
    </w:rPr>
  </w:style>
  <w:style w:type="character" w:styleId="CommentReference">
    <w:name w:val="annotation reference"/>
    <w:rsid w:val="0041793F"/>
    <w:rPr>
      <w:sz w:val="16"/>
      <w:szCs w:val="16"/>
    </w:rPr>
  </w:style>
  <w:style w:type="paragraph" w:styleId="ListParagraph">
    <w:name w:val="List Paragraph"/>
    <w:basedOn w:val="Normal"/>
    <w:uiPriority w:val="34"/>
    <w:qFormat/>
    <w:rsid w:val="00FC4659"/>
    <w:pPr>
      <w:ind w:left="720"/>
      <w:contextualSpacing/>
    </w:pPr>
  </w:style>
  <w:style w:type="paragraph" w:customStyle="1" w:styleId="Default">
    <w:name w:val="Default"/>
    <w:rsid w:val="008300BE"/>
    <w:pPr>
      <w:autoSpaceDE w:val="0"/>
      <w:autoSpaceDN w:val="0"/>
      <w:adjustRightInd w:val="0"/>
    </w:pPr>
    <w:rPr>
      <w:rFonts w:ascii="TheSans" w:hAnsi="TheSans" w:cs="TheSans"/>
      <w:color w:val="000000"/>
      <w:sz w:val="24"/>
      <w:szCs w:val="24"/>
      <w:lang w:eastAsia="en-US"/>
    </w:rPr>
  </w:style>
  <w:style w:type="table" w:styleId="TableGrid">
    <w:name w:val="Table Grid"/>
    <w:basedOn w:val="TableNormal"/>
    <w:uiPriority w:val="59"/>
    <w:rsid w:val="00BC2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3305"/>
    <w:rPr>
      <w:color w:val="0000FF"/>
      <w:u w:val="single"/>
    </w:rPr>
  </w:style>
  <w:style w:type="table" w:customStyle="1" w:styleId="Tabellenraster1">
    <w:name w:val="Tabellenraster1"/>
    <w:basedOn w:val="TableNormal"/>
    <w:next w:val="TableGrid"/>
    <w:uiPriority w:val="59"/>
    <w:rsid w:val="00DD342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D3428"/>
    <w:pPr>
      <w:spacing w:before="240" w:after="0" w:line="259" w:lineRule="auto"/>
      <w:outlineLvl w:val="9"/>
    </w:pPr>
    <w:rPr>
      <w:rFonts w:ascii="Cambria" w:hAnsi="Cambria"/>
      <w:b w:val="0"/>
      <w:bCs w:val="0"/>
      <w:snapToGrid/>
      <w:sz w:val="32"/>
      <w:szCs w:val="32"/>
      <w:lang w:val="de-CH" w:eastAsia="de-CH"/>
    </w:rPr>
  </w:style>
  <w:style w:type="paragraph" w:customStyle="1" w:styleId="berschrift">
    <w:name w:val="Überschrift"/>
    <w:basedOn w:val="Normal"/>
    <w:next w:val="Normal"/>
    <w:link w:val="berschriftZchn"/>
    <w:qFormat/>
    <w:rsid w:val="00BF4A4B"/>
    <w:pPr>
      <w:numPr>
        <w:numId w:val="2"/>
      </w:numPr>
      <w:spacing w:before="240"/>
      <w:ind w:left="357" w:hanging="357"/>
    </w:pPr>
    <w:rPr>
      <w:rFonts w:ascii="Suisse Int'l Bold" w:hAnsi="Suisse Int'l Bold"/>
      <w:bCs/>
      <w:snapToGrid/>
      <w:sz w:val="26"/>
      <w:szCs w:val="32"/>
    </w:rPr>
  </w:style>
  <w:style w:type="paragraph" w:customStyle="1" w:styleId="berschrift2">
    <w:name w:val="Überschrift_2"/>
    <w:basedOn w:val="Heading1"/>
    <w:next w:val="Normal"/>
    <w:link w:val="berschrift2Zchn"/>
    <w:qFormat/>
    <w:rsid w:val="00BF4A4B"/>
    <w:pPr>
      <w:numPr>
        <w:ilvl w:val="1"/>
        <w:numId w:val="2"/>
      </w:numPr>
      <w:spacing w:before="120" w:after="120"/>
      <w:ind w:left="0" w:firstLine="0"/>
    </w:pPr>
    <w:rPr>
      <w:rFonts w:ascii="Suisse Int'l Bold" w:hAnsi="Suisse Int'l Bold"/>
      <w:b w:val="0"/>
      <w:bCs w:val="0"/>
      <w:snapToGrid/>
      <w:color w:val="auto"/>
      <w:sz w:val="22"/>
    </w:rPr>
  </w:style>
  <w:style w:type="character" w:customStyle="1" w:styleId="berschriftZchn">
    <w:name w:val="Überschrift Zchn"/>
    <w:link w:val="berschrift"/>
    <w:rsid w:val="00BF4A4B"/>
    <w:rPr>
      <w:rFonts w:ascii="Suisse Int'l Bold" w:eastAsia="Times New Roman" w:hAnsi="Suisse Int'l Bold"/>
      <w:bCs/>
      <w:sz w:val="26"/>
      <w:szCs w:val="32"/>
      <w:lang w:val="de-DE" w:eastAsia="de-DE"/>
    </w:rPr>
  </w:style>
  <w:style w:type="paragraph" w:styleId="TOC1">
    <w:name w:val="toc 1"/>
    <w:basedOn w:val="Normal"/>
    <w:next w:val="Normal"/>
    <w:autoRedefine/>
    <w:uiPriority w:val="39"/>
    <w:unhideWhenUsed/>
    <w:rsid w:val="00DD3428"/>
    <w:pPr>
      <w:spacing w:after="100" w:line="276" w:lineRule="auto"/>
    </w:pPr>
    <w:rPr>
      <w:rFonts w:eastAsia="Calibri"/>
      <w:snapToGrid/>
      <w:lang w:val="de-CH" w:eastAsia="en-US"/>
    </w:rPr>
  </w:style>
  <w:style w:type="character" w:customStyle="1" w:styleId="berschrift2Zchn">
    <w:name w:val="Überschrift_2 Zchn"/>
    <w:link w:val="berschrift2"/>
    <w:rsid w:val="00BF4A4B"/>
    <w:rPr>
      <w:rFonts w:ascii="Suisse Int'l Bold" w:eastAsia="Times New Roman" w:hAnsi="Suisse Int'l Bold"/>
      <w:sz w:val="22"/>
      <w:szCs w:val="28"/>
      <w:lang w:val="de-DE" w:eastAsia="de-DE"/>
    </w:rPr>
  </w:style>
  <w:style w:type="paragraph" w:styleId="TOC2">
    <w:name w:val="toc 2"/>
    <w:basedOn w:val="Normal"/>
    <w:next w:val="Normal"/>
    <w:autoRedefine/>
    <w:uiPriority w:val="39"/>
    <w:unhideWhenUsed/>
    <w:rsid w:val="00DD3428"/>
    <w:pPr>
      <w:spacing w:after="100" w:line="276" w:lineRule="auto"/>
      <w:ind w:left="220"/>
    </w:pPr>
    <w:rPr>
      <w:rFonts w:eastAsia="Calibri"/>
      <w:snapToGrid/>
      <w:lang w:val="de-CH" w:eastAsia="en-US"/>
    </w:rPr>
  </w:style>
  <w:style w:type="paragraph" w:styleId="NoSpacing">
    <w:name w:val="No Spacing"/>
    <w:uiPriority w:val="1"/>
    <w:qFormat/>
    <w:rsid w:val="00DD3428"/>
    <w:rPr>
      <w:rFonts w:ascii="TheSans" w:eastAsia="Times New Roman" w:hAnsi="TheSans"/>
      <w:snapToGrid w:val="0"/>
      <w:lang w:val="de-DE" w:eastAsia="de-DE"/>
    </w:rPr>
  </w:style>
  <w:style w:type="table" w:styleId="GridTable1Light-Accent5">
    <w:name w:val="Grid Table 1 Light Accent 5"/>
    <w:basedOn w:val="TableNormal"/>
    <w:uiPriority w:val="46"/>
    <w:rsid w:val="004F51E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6A3D70"/>
    <w:pPr>
      <w:spacing w:after="200"/>
    </w:pPr>
    <w:rPr>
      <w:i/>
      <w:iCs/>
      <w:color w:val="44546A" w:themeColor="text2"/>
      <w:sz w:val="18"/>
      <w:szCs w:val="18"/>
    </w:rPr>
  </w:style>
  <w:style w:type="character" w:customStyle="1" w:styleId="actual">
    <w:name w:val="actual"/>
    <w:basedOn w:val="DefaultParagraphFont"/>
    <w:rsid w:val="00E43E57"/>
  </w:style>
  <w:style w:type="character" w:customStyle="1" w:styleId="ng-star-inserted">
    <w:name w:val="ng-star-inserted"/>
    <w:basedOn w:val="DefaultParagraphFont"/>
    <w:rsid w:val="00E43E57"/>
  </w:style>
  <w:style w:type="paragraph" w:styleId="NormalWeb">
    <w:name w:val="Normal (Web)"/>
    <w:basedOn w:val="Normal"/>
    <w:uiPriority w:val="99"/>
    <w:unhideWhenUsed/>
    <w:rsid w:val="00AB6585"/>
    <w:pPr>
      <w:spacing w:before="100" w:beforeAutospacing="1" w:after="100" w:afterAutospacing="1"/>
    </w:pPr>
    <w:rPr>
      <w:rFonts w:ascii="Times New Roman" w:hAnsi="Times New Roman"/>
      <w:snapToGrid/>
      <w:sz w:val="24"/>
      <w:szCs w:val="24"/>
      <w:lang w:val="de-LU" w:eastAsia="de-LU"/>
    </w:rPr>
  </w:style>
  <w:style w:type="table" w:styleId="GridTable1Light">
    <w:name w:val="Grid Table 1 Light"/>
    <w:basedOn w:val="TableNormal"/>
    <w:uiPriority w:val="46"/>
    <w:rsid w:val="00205F0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F">
    <w:name w:val="Standard F"/>
    <w:basedOn w:val="Normal"/>
    <w:rsid w:val="000D4E49"/>
    <w:pPr>
      <w:spacing w:before="60" w:after="60" w:line="259" w:lineRule="auto"/>
      <w:contextualSpacing/>
    </w:pPr>
    <w:rPr>
      <w:rFonts w:ascii="Frutiger Next Com" w:eastAsiaTheme="minorHAnsi" w:hAnsi="Frutiger Next Com" w:cstheme="minorBidi"/>
      <w:b/>
      <w:snapToGrid/>
      <w:sz w:val="20"/>
      <w:lang w:val="de-CH" w:eastAsia="en-US"/>
    </w:rPr>
  </w:style>
  <w:style w:type="paragraph" w:customStyle="1" w:styleId="Standard8F">
    <w:name w:val="Standard 8 F"/>
    <w:basedOn w:val="Normal"/>
    <w:rsid w:val="000D4E49"/>
    <w:pPr>
      <w:spacing w:before="60" w:after="60" w:line="259" w:lineRule="auto"/>
      <w:contextualSpacing/>
    </w:pPr>
    <w:rPr>
      <w:rFonts w:ascii="Frutiger Next Com" w:eastAsiaTheme="minorHAnsi" w:hAnsi="Frutiger Next Com" w:cstheme="minorBidi"/>
      <w:b/>
      <w:snapToGrid/>
      <w:sz w:val="16"/>
      <w:lang w:val="de-CH" w:eastAsia="en-US"/>
    </w:rPr>
  </w:style>
  <w:style w:type="character" w:customStyle="1" w:styleId="baec5a81-e4d6-4674-97f3-e9220f0136c1">
    <w:name w:val="baec5a81-e4d6-4674-97f3-e9220f0136c1"/>
    <w:basedOn w:val="DefaultParagraphFont"/>
    <w:rsid w:val="000D4E49"/>
  </w:style>
  <w:style w:type="table" w:customStyle="1" w:styleId="TableGrid1">
    <w:name w:val="Table Grid1"/>
    <w:basedOn w:val="TableNormal"/>
    <w:next w:val="TableGrid"/>
    <w:uiPriority w:val="59"/>
    <w:rsid w:val="00823BA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62387/naafijurnalilmiahmahasiswa.v2i2.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2Mnc5tzNeuK7inG4VTvbdEZSQ==">CgMxLjA4AHIhMTA3RkZTbnFENERTbDFyR284Nl84V1dEczdBMk1WVmdT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1E2261-0752-49BA-84E0-FB6450EB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Burger, Raphael</dc:creator>
  <cp:lastModifiedBy>Fadillah Rahman</cp:lastModifiedBy>
  <cp:revision>2</cp:revision>
  <cp:lastPrinted>2026-07-22T07:06:00Z</cp:lastPrinted>
  <dcterms:created xsi:type="dcterms:W3CDTF">2026-07-22T07:06:00Z</dcterms:created>
  <dcterms:modified xsi:type="dcterms:W3CDTF">2026-07-22T07:06:00Z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0x010100530774792AEA2E4B92D8594DE452FF22</vt:lpwstr>
  </property>
  <property fmtid="{D5CDD505-2E9C-101B-9397-08002B2CF9AE}" pid="3" name="Order">
    <vt:r8>61800</vt:r8>
  </property>
  <property fmtid="{D5CDD505-2E9C-101B-9397-08002B2CF9AE}" pid="4" name="xd_ProgID">
    <vt:lpwstr/>
  </property>
  <property fmtid="{D5CDD505-2E9C-101B-9397-08002B2CF9AE}" pid="5" name="_CopySource">
    <vt:lpwstr>https://sympsg.sharepoint.com/sites/data/Management/lok/Shared Documents/01 Administration/48. ISC/03 Vorlagen/20170921_Memovorlage_HOC.docx</vt:lpwstr>
  </property>
  <property fmtid="{D5CDD505-2E9C-101B-9397-08002B2CF9AE}" pid="6" name="TemplateUrl">
    <vt:lpwstr/>
  </property>
  <property fmtid="{D5CDD505-2E9C-101B-9397-08002B2CF9AE}" pid="7" name="xd_Signature">
    <vt:bool>false</vt:bool>
  </property>
  <property fmtid="{D5CDD505-2E9C-101B-9397-08002B2CF9AE}" pid="8" name="ComplianceAssetId">
    <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http://www.zotero.org/styles/chicago-fullnote-bibliography</vt:lpwstr>
  </property>
  <property fmtid="{D5CDD505-2E9C-101B-9397-08002B2CF9AE}" pid="20" name="Mendeley Recent Style Name 5_1">
    <vt:lpwstr>Chicago Manual of Style 17th edition (full note)</vt:lpwstr>
  </property>
  <property fmtid="{D5CDD505-2E9C-101B-9397-08002B2CF9AE}" pid="21" name="Mendeley Recent Style Id 6_1">
    <vt:lpwstr>http://www.zotero.org/styles/harvard-cite-them-right</vt:lpwstr>
  </property>
  <property fmtid="{D5CDD505-2E9C-101B-9397-08002B2CF9AE}" pid="22" name="Mendeley Recent Style Name 6_1">
    <vt:lpwstr>Cite Them Right 10th edition - Harvard</vt:lpwstr>
  </property>
  <property fmtid="{D5CDD505-2E9C-101B-9397-08002B2CF9AE}" pid="23" name="Mendeley Recent Style Id 7_1">
    <vt:lpwstr>http://www.zotero.org/styles/ieee</vt:lpwstr>
  </property>
  <property fmtid="{D5CDD505-2E9C-101B-9397-08002B2CF9AE}" pid="24" name="Mendeley Recent Style Name 7_1">
    <vt:lpwstr>IEEE</vt:lpwstr>
  </property>
  <property fmtid="{D5CDD505-2E9C-101B-9397-08002B2CF9AE}" pid="25" name="Mendeley Recent Style Id 8_1">
    <vt:lpwstr>http://www.zotero.org/styles/modern-humanities-research-association</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Id 9_1">
    <vt:lpwstr>http://www.zotero.org/styles/modern-language-association</vt:lpwstr>
  </property>
  <property fmtid="{D5CDD505-2E9C-101B-9397-08002B2CF9AE}" pid="28" name="Mendeley Recent Style Name 9_1">
    <vt:lpwstr>Modern Language Association 8th edition</vt:lpwstr>
  </property>
  <property fmtid="{D5CDD505-2E9C-101B-9397-08002B2CF9AE}" pid="29" name="Mendeley Document_1">
    <vt:lpwstr>True</vt:lpwstr>
  </property>
  <property fmtid="{D5CDD505-2E9C-101B-9397-08002B2CF9AE}" pid="30" name="Mendeley Unique User Id_1">
    <vt:lpwstr>69deaded-1f01-3ed6-8fd7-6453d08d92c8</vt:lpwstr>
  </property>
  <property fmtid="{D5CDD505-2E9C-101B-9397-08002B2CF9AE}" pid="31" name="Mendeley Citation Style_1">
    <vt:lpwstr>http://www.zotero.org/styles/apa</vt:lpwstr>
  </property>
</Properties>
</file>